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25239"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49E2FCDD"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0350A4DD" w14:textId="77777777" w:rsidTr="001C4D77">
              <w:trPr>
                <w:jc w:val="center"/>
              </w:trPr>
              <w:tc>
                <w:tcPr>
                  <w:tcW w:w="5000" w:type="pct"/>
                  <w:shd w:val="clear" w:color="auto" w:fill="FFFFFF"/>
                  <w:hideMark/>
                </w:tcPr>
                <w:p w14:paraId="64393FC7" w14:textId="60C9B0BE" w:rsidR="001C4D77" w:rsidRPr="001C4D77" w:rsidRDefault="001C4D77" w:rsidP="001C4D77">
                  <w:r w:rsidRPr="001C4D77">
                    <w:drawing>
                      <wp:inline distT="0" distB="0" distL="0" distR="0" wp14:anchorId="7D219DD6" wp14:editId="0662E1F1">
                        <wp:extent cx="5425440" cy="1958340"/>
                        <wp:effectExtent l="0" t="0" r="3810" b="3810"/>
                        <wp:docPr id="476883269" name="Picture 4" descr="A purple background with a building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883269" name="Picture 4" descr="A purple background with a building and whit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1958340"/>
                                </a:xfrm>
                                <a:prstGeom prst="rect">
                                  <a:avLst/>
                                </a:prstGeom>
                                <a:noFill/>
                                <a:ln>
                                  <a:noFill/>
                                </a:ln>
                              </pic:spPr>
                            </pic:pic>
                          </a:graphicData>
                        </a:graphic>
                      </wp:inline>
                    </w:drawing>
                  </w:r>
                </w:p>
              </w:tc>
            </w:tr>
          </w:tbl>
          <w:p w14:paraId="47D17785" w14:textId="77777777" w:rsidR="001C4D77" w:rsidRPr="001C4D77" w:rsidRDefault="001C4D77" w:rsidP="001C4D77"/>
        </w:tc>
      </w:tr>
    </w:tbl>
    <w:p w14:paraId="240B8912"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6C467990"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795B932C" w14:textId="77777777" w:rsidTr="001C4D77">
              <w:trPr>
                <w:jc w:val="center"/>
              </w:trPr>
              <w:tc>
                <w:tcPr>
                  <w:tcW w:w="0" w:type="auto"/>
                  <w:shd w:val="clear" w:color="auto" w:fill="FFFFFF"/>
                  <w:tcMar>
                    <w:top w:w="195" w:type="dxa"/>
                    <w:left w:w="135" w:type="dxa"/>
                    <w:bottom w:w="135"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457236C8" w14:textId="77777777" w:rsidTr="001C4D77">
                    <w:trPr>
                      <w:jc w:val="center"/>
                    </w:trPr>
                    <w:tc>
                      <w:tcPr>
                        <w:tcW w:w="5000" w:type="pct"/>
                        <w:tcMar>
                          <w:top w:w="75" w:type="dxa"/>
                          <w:left w:w="30" w:type="dxa"/>
                          <w:bottom w:w="75" w:type="dxa"/>
                          <w:right w:w="30" w:type="dxa"/>
                        </w:tcMar>
                        <w:hideMark/>
                      </w:tcPr>
                      <w:p w14:paraId="699648C2" w14:textId="77777777" w:rsidR="001C4D77" w:rsidRPr="001C4D77" w:rsidRDefault="001C4D77" w:rsidP="001C4D77">
                        <w:r w:rsidRPr="001C4D77">
                          <w:rPr>
                            <w:b/>
                            <w:bCs/>
                          </w:rPr>
                          <w:t>William Kendall Small Awards Programme</w:t>
                        </w:r>
                      </w:p>
                    </w:tc>
                  </w:tr>
                </w:tbl>
                <w:p w14:paraId="49AC7D9C" w14:textId="77777777" w:rsidR="001C4D77" w:rsidRPr="001C4D77" w:rsidRDefault="001C4D77" w:rsidP="001C4D77"/>
              </w:tc>
            </w:tr>
          </w:tbl>
          <w:p w14:paraId="492A0674" w14:textId="77777777" w:rsidR="001C4D77" w:rsidRPr="001C4D77" w:rsidRDefault="001C4D77" w:rsidP="001C4D77"/>
        </w:tc>
      </w:tr>
    </w:tbl>
    <w:p w14:paraId="66B278F4"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6EA94968"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165420A0" w14:textId="77777777" w:rsidTr="001C4D77">
              <w:trPr>
                <w:jc w:val="center"/>
              </w:trPr>
              <w:tc>
                <w:tcPr>
                  <w:tcW w:w="0" w:type="auto"/>
                  <w:shd w:val="clear" w:color="auto" w:fill="FFFFFF"/>
                  <w:tcMar>
                    <w:top w:w="0" w:type="dxa"/>
                    <w:left w:w="135" w:type="dxa"/>
                    <w:bottom w:w="135"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5E90A226" w14:textId="77777777" w:rsidTr="001C4D77">
                    <w:trPr>
                      <w:jc w:val="center"/>
                    </w:trPr>
                    <w:tc>
                      <w:tcPr>
                        <w:tcW w:w="5000" w:type="pct"/>
                        <w:tcMar>
                          <w:top w:w="75" w:type="dxa"/>
                          <w:left w:w="30" w:type="dxa"/>
                          <w:bottom w:w="75" w:type="dxa"/>
                          <w:right w:w="30" w:type="dxa"/>
                        </w:tcMar>
                        <w:hideMark/>
                      </w:tcPr>
                      <w:p w14:paraId="67D71B5B" w14:textId="77777777" w:rsidR="001C4D77" w:rsidRPr="001C4D77" w:rsidRDefault="001C4D77" w:rsidP="001C4D77">
                        <w:r w:rsidRPr="001C4D77">
                          <w:t>The Spring 2025 round of the William Kendall Small Awards Programme for Bexley from the Worshipful Company of Wax Chandlers </w:t>
                        </w:r>
                        <w:r w:rsidRPr="001C4D77">
                          <w:rPr>
                            <w:i/>
                            <w:iCs/>
                          </w:rPr>
                          <w:t>NOW OPEN</w:t>
                        </w:r>
                        <w:r w:rsidRPr="001C4D77">
                          <w:t>.</w:t>
                        </w:r>
                        <w:r w:rsidRPr="001C4D77">
                          <w:br/>
                        </w:r>
                        <w:r w:rsidRPr="001C4D77">
                          <w:br/>
                          <w:t>The William Kendall Charity aims to fund charitable purposes for the general benefit of the inhabitants of the London Borough of Bexley, and the relief of need, hardship or distress.</w:t>
                        </w:r>
                      </w:p>
                      <w:p w14:paraId="42414F6B" w14:textId="77777777" w:rsidR="001C4D77" w:rsidRPr="001C4D77" w:rsidRDefault="001C4D77" w:rsidP="001C4D77">
                        <w:r w:rsidRPr="001C4D77">
                          <w:rPr>
                            <w:b/>
                            <w:bCs/>
                          </w:rPr>
                          <w:t>Deadline </w:t>
                        </w:r>
                        <w:r w:rsidRPr="001C4D77">
                          <w:rPr>
                            <w:b/>
                            <w:bCs/>
                            <w:i/>
                            <w:iCs/>
                          </w:rPr>
                          <w:t>(for applications to be received by BVSC)</w:t>
                        </w:r>
                        <w:r w:rsidRPr="001C4D77">
                          <w:rPr>
                            <w:b/>
                            <w:bCs/>
                          </w:rPr>
                          <w:t>: 23:59 21st April 2025.</w:t>
                        </w:r>
                      </w:p>
                    </w:tc>
                  </w:tr>
                </w:tbl>
                <w:p w14:paraId="6DA96352" w14:textId="77777777" w:rsidR="001C4D77" w:rsidRPr="001C4D77" w:rsidRDefault="001C4D77" w:rsidP="001C4D77"/>
              </w:tc>
            </w:tr>
          </w:tbl>
          <w:p w14:paraId="347459E4" w14:textId="77777777" w:rsidR="001C4D77" w:rsidRPr="001C4D77" w:rsidRDefault="001C4D77" w:rsidP="001C4D77"/>
        </w:tc>
      </w:tr>
    </w:tbl>
    <w:p w14:paraId="6F7202DB"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55C60F4A"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17C0B345" w14:textId="77777777" w:rsidTr="001C4D77">
              <w:trPr>
                <w:jc w:val="center"/>
              </w:trPr>
              <w:tc>
                <w:tcPr>
                  <w:tcW w:w="0" w:type="auto"/>
                  <w:shd w:val="clear" w:color="auto" w:fill="FFFFFF"/>
                  <w:tcMar>
                    <w:top w:w="0" w:type="dxa"/>
                    <w:left w:w="135" w:type="dxa"/>
                    <w:bottom w:w="135"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1E1B8FB6" w14:textId="77777777" w:rsidTr="001C4D77">
                    <w:trPr>
                      <w:jc w:val="center"/>
                    </w:trPr>
                    <w:tc>
                      <w:tcPr>
                        <w:tcW w:w="0" w:type="auto"/>
                        <w:tcMar>
                          <w:top w:w="75" w:type="dxa"/>
                          <w:left w:w="30" w:type="dxa"/>
                          <w:bottom w:w="75" w:type="dxa"/>
                          <w:right w:w="30" w:type="dxa"/>
                        </w:tcMar>
                        <w:hideMark/>
                      </w:tcPr>
                      <w:tbl>
                        <w:tblPr>
                          <w:tblW w:w="0" w:type="auto"/>
                          <w:jc w:val="center"/>
                          <w:tblCellSpacing w:w="0" w:type="dxa"/>
                          <w:tblCellMar>
                            <w:top w:w="144" w:type="dxa"/>
                            <w:left w:w="144" w:type="dxa"/>
                            <w:bottom w:w="144" w:type="dxa"/>
                            <w:right w:w="144" w:type="dxa"/>
                          </w:tblCellMar>
                          <w:tblLook w:val="04A0" w:firstRow="1" w:lastRow="0" w:firstColumn="1" w:lastColumn="0" w:noHBand="0" w:noVBand="1"/>
                        </w:tblPr>
                        <w:tblGrid>
                          <w:gridCol w:w="1702"/>
                        </w:tblGrid>
                        <w:tr w:rsidR="001C4D77" w:rsidRPr="001C4D77" w14:paraId="6DCD77E2" w14:textId="77777777">
                          <w:trPr>
                            <w:tblCellSpacing w:w="0" w:type="dxa"/>
                            <w:jc w:val="center"/>
                          </w:trPr>
                          <w:tc>
                            <w:tcPr>
                              <w:tcW w:w="0" w:type="auto"/>
                              <w:shd w:val="clear" w:color="auto" w:fill="92CDDC"/>
                              <w:tcMar>
                                <w:top w:w="180" w:type="dxa"/>
                                <w:left w:w="210" w:type="dxa"/>
                                <w:bottom w:w="180" w:type="dxa"/>
                                <w:right w:w="210" w:type="dxa"/>
                              </w:tcMar>
                              <w:vAlign w:val="center"/>
                              <w:hideMark/>
                            </w:tcPr>
                            <w:p w14:paraId="03E470F1" w14:textId="77777777" w:rsidR="001C4D77" w:rsidRPr="001C4D77" w:rsidRDefault="001C4D77" w:rsidP="001C4D77">
                              <w:hyperlink r:id="rId5" w:tgtFrame="_new" w:history="1">
                                <w:r w:rsidRPr="001C4D77">
                                  <w:rPr>
                                    <w:rStyle w:val="Hyperlink"/>
                                  </w:rPr>
                                  <w:t>How to apply.</w:t>
                                </w:r>
                              </w:hyperlink>
                            </w:p>
                          </w:tc>
                        </w:tr>
                      </w:tbl>
                      <w:p w14:paraId="7E7D0AFD" w14:textId="77777777" w:rsidR="001C4D77" w:rsidRPr="001C4D77" w:rsidRDefault="001C4D77" w:rsidP="001C4D77"/>
                    </w:tc>
                  </w:tr>
                </w:tbl>
                <w:p w14:paraId="22650014" w14:textId="77777777" w:rsidR="001C4D77" w:rsidRPr="001C4D77" w:rsidRDefault="001C4D77" w:rsidP="001C4D77"/>
              </w:tc>
            </w:tr>
          </w:tbl>
          <w:p w14:paraId="56AA13CA" w14:textId="77777777" w:rsidR="001C4D77" w:rsidRPr="001C4D77" w:rsidRDefault="001C4D77" w:rsidP="001C4D77"/>
        </w:tc>
      </w:tr>
    </w:tbl>
    <w:p w14:paraId="2A455ABB"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370302C7"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1E553375" w14:textId="77777777" w:rsidTr="001C4D77">
              <w:trPr>
                <w:jc w:val="center"/>
              </w:trPr>
              <w:tc>
                <w:tcPr>
                  <w:tcW w:w="0" w:type="auto"/>
                  <w:shd w:val="clear" w:color="auto" w:fill="FFFFFF"/>
                  <w:tcMar>
                    <w:top w:w="255" w:type="dxa"/>
                    <w:left w:w="135" w:type="dxa"/>
                    <w:bottom w:w="0"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13F4CB40" w14:textId="77777777" w:rsidTr="001C4D77">
                    <w:trPr>
                      <w:jc w:val="center"/>
                    </w:trPr>
                    <w:tc>
                      <w:tcPr>
                        <w:tcW w:w="5000" w:type="pct"/>
                        <w:tcMar>
                          <w:top w:w="75" w:type="dxa"/>
                          <w:left w:w="30" w:type="dxa"/>
                          <w:bottom w:w="75" w:type="dxa"/>
                          <w:right w:w="30" w:type="dxa"/>
                        </w:tcMar>
                        <w:hideMark/>
                      </w:tcPr>
                      <w:p w14:paraId="41B69166" w14:textId="77777777" w:rsidR="001C4D77" w:rsidRPr="001C4D77" w:rsidRDefault="001C4D77" w:rsidP="001C4D77">
                        <w:r w:rsidRPr="001C4D77">
                          <w:rPr>
                            <w:b/>
                            <w:bCs/>
                          </w:rPr>
                          <w:t>BBC Children in Need 'Core Costs' Grant</w:t>
                        </w:r>
                      </w:p>
                    </w:tc>
                  </w:tr>
                </w:tbl>
                <w:p w14:paraId="31261DE2" w14:textId="77777777" w:rsidR="001C4D77" w:rsidRPr="001C4D77" w:rsidRDefault="001C4D77" w:rsidP="001C4D77"/>
              </w:tc>
            </w:tr>
          </w:tbl>
          <w:p w14:paraId="45A3C680" w14:textId="77777777" w:rsidR="001C4D77" w:rsidRPr="001C4D77" w:rsidRDefault="001C4D77" w:rsidP="001C4D77"/>
        </w:tc>
      </w:tr>
    </w:tbl>
    <w:p w14:paraId="098E63D0"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24BEDEB7"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7D974186" w14:textId="77777777" w:rsidTr="001C4D77">
              <w:trPr>
                <w:jc w:val="center"/>
              </w:trPr>
              <w:tc>
                <w:tcPr>
                  <w:tcW w:w="0" w:type="auto"/>
                  <w:shd w:val="clear" w:color="auto" w:fill="FFFFFF"/>
                  <w:tcMar>
                    <w:top w:w="0" w:type="dxa"/>
                    <w:left w:w="135" w:type="dxa"/>
                    <w:bottom w:w="135"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7AE104F5" w14:textId="77777777" w:rsidTr="001C4D77">
                    <w:trPr>
                      <w:jc w:val="center"/>
                    </w:trPr>
                    <w:tc>
                      <w:tcPr>
                        <w:tcW w:w="5000" w:type="pct"/>
                        <w:tcMar>
                          <w:top w:w="75" w:type="dxa"/>
                          <w:left w:w="30" w:type="dxa"/>
                          <w:bottom w:w="195" w:type="dxa"/>
                          <w:right w:w="30" w:type="dxa"/>
                        </w:tcMar>
                        <w:hideMark/>
                      </w:tcPr>
                      <w:p w14:paraId="3697DC09" w14:textId="0DAC7B73" w:rsidR="001C4D77" w:rsidRPr="001C4D77" w:rsidRDefault="001C4D77" w:rsidP="001C4D77">
                        <w:r w:rsidRPr="001C4D77">
                          <w:drawing>
                            <wp:inline distT="0" distB="0" distL="0" distR="0" wp14:anchorId="0DB121C4" wp14:editId="1A82984C">
                              <wp:extent cx="5219700" cy="2057400"/>
                              <wp:effectExtent l="0" t="0" r="0" b="0"/>
                              <wp:docPr id="1713466772" name="Picture 3" descr="A group of children in cloth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466772" name="Picture 3" descr="A group of children in clothing&#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2057400"/>
                                      </a:xfrm>
                                      <a:prstGeom prst="rect">
                                        <a:avLst/>
                                      </a:prstGeom>
                                      <a:noFill/>
                                      <a:ln>
                                        <a:noFill/>
                                      </a:ln>
                                    </pic:spPr>
                                  </pic:pic>
                                </a:graphicData>
                              </a:graphic>
                            </wp:inline>
                          </w:drawing>
                        </w:r>
                      </w:p>
                    </w:tc>
                  </w:tr>
                  <w:tr w:rsidR="001C4D77" w:rsidRPr="001C4D77" w14:paraId="70734A17" w14:textId="77777777" w:rsidTr="001C4D77">
                    <w:trPr>
                      <w:jc w:val="center"/>
                    </w:trPr>
                    <w:tc>
                      <w:tcPr>
                        <w:tcW w:w="5000" w:type="pct"/>
                        <w:tcMar>
                          <w:top w:w="75" w:type="dxa"/>
                          <w:left w:w="30" w:type="dxa"/>
                          <w:bottom w:w="75" w:type="dxa"/>
                          <w:right w:w="30" w:type="dxa"/>
                        </w:tcMar>
                        <w:hideMark/>
                      </w:tcPr>
                      <w:p w14:paraId="258813FB" w14:textId="77777777" w:rsidR="001C4D77" w:rsidRPr="001C4D77" w:rsidRDefault="001C4D77" w:rsidP="001C4D77">
                        <w:r w:rsidRPr="001C4D77">
                          <w:t>The BBC Children in Need Core Grants Programme distributes grants to not for profit organisations working with children and young people aged 18 or under. Funding is available to support essential organisational and administrative spending. These are the key expenses required to keep your organisation running. </w:t>
                        </w:r>
                        <w:r w:rsidRPr="001C4D77">
                          <w:br/>
                        </w:r>
                        <w:r w:rsidRPr="001C4D77">
                          <w:lastRenderedPageBreak/>
                          <w:br/>
                        </w:r>
                        <w:r w:rsidRPr="001C4D77">
                          <w:rPr>
                            <w:b/>
                            <w:bCs/>
                          </w:rPr>
                          <w:t>Application Deadline: 15 April 2025.</w:t>
                        </w:r>
                      </w:p>
                    </w:tc>
                  </w:tr>
                  <w:tr w:rsidR="001C4D77" w:rsidRPr="001C4D77" w14:paraId="49F8B398" w14:textId="77777777" w:rsidTr="001C4D77">
                    <w:trPr>
                      <w:jc w:val="center"/>
                    </w:trPr>
                    <w:tc>
                      <w:tcPr>
                        <w:tcW w:w="0" w:type="auto"/>
                        <w:tcMar>
                          <w:top w:w="75" w:type="dxa"/>
                          <w:left w:w="30" w:type="dxa"/>
                          <w:bottom w:w="75" w:type="dxa"/>
                          <w:right w:w="30" w:type="dxa"/>
                        </w:tcMar>
                        <w:hideMark/>
                      </w:tcPr>
                      <w:tbl>
                        <w:tblPr>
                          <w:tblW w:w="0" w:type="auto"/>
                          <w:jc w:val="center"/>
                          <w:tblCellSpacing w:w="0" w:type="dxa"/>
                          <w:tblCellMar>
                            <w:top w:w="72" w:type="dxa"/>
                            <w:left w:w="72" w:type="dxa"/>
                            <w:bottom w:w="72" w:type="dxa"/>
                            <w:right w:w="72" w:type="dxa"/>
                          </w:tblCellMar>
                          <w:tblLook w:val="04A0" w:firstRow="1" w:lastRow="0" w:firstColumn="1" w:lastColumn="0" w:noHBand="0" w:noVBand="1"/>
                        </w:tblPr>
                        <w:tblGrid>
                          <w:gridCol w:w="2306"/>
                        </w:tblGrid>
                        <w:tr w:rsidR="001C4D77" w:rsidRPr="001C4D77" w14:paraId="7C23C6AA" w14:textId="77777777">
                          <w:trPr>
                            <w:tblCellSpacing w:w="0" w:type="dxa"/>
                            <w:jc w:val="center"/>
                          </w:trPr>
                          <w:tc>
                            <w:tcPr>
                              <w:tcW w:w="0" w:type="auto"/>
                              <w:tcBorders>
                                <w:top w:val="single" w:sz="6" w:space="0" w:color="3F3F3F"/>
                                <w:left w:val="single" w:sz="6" w:space="0" w:color="3F3F3F"/>
                                <w:bottom w:val="single" w:sz="6" w:space="0" w:color="3F3F3F"/>
                                <w:right w:val="single" w:sz="6" w:space="0" w:color="3F3F3F"/>
                              </w:tcBorders>
                              <w:shd w:val="clear" w:color="auto" w:fill="92CDDC"/>
                              <w:tcMar>
                                <w:top w:w="90" w:type="dxa"/>
                                <w:left w:w="270" w:type="dxa"/>
                                <w:bottom w:w="90" w:type="dxa"/>
                                <w:right w:w="270" w:type="dxa"/>
                              </w:tcMar>
                              <w:vAlign w:val="center"/>
                              <w:hideMark/>
                            </w:tcPr>
                            <w:p w14:paraId="11EE4041" w14:textId="77777777" w:rsidR="001C4D77" w:rsidRPr="001C4D77" w:rsidRDefault="001C4D77" w:rsidP="001C4D77">
                              <w:hyperlink r:id="rId7" w:tgtFrame="_new" w:history="1">
                                <w:r w:rsidRPr="001C4D77">
                                  <w:rPr>
                                    <w:rStyle w:val="Hyperlink"/>
                                  </w:rPr>
                                  <w:t>More information. </w:t>
                                </w:r>
                              </w:hyperlink>
                            </w:p>
                          </w:tc>
                        </w:tr>
                      </w:tbl>
                      <w:p w14:paraId="03896BC9" w14:textId="77777777" w:rsidR="001C4D77" w:rsidRPr="001C4D77" w:rsidRDefault="001C4D77" w:rsidP="001C4D77"/>
                    </w:tc>
                  </w:tr>
                </w:tbl>
                <w:p w14:paraId="650EA32F" w14:textId="77777777" w:rsidR="001C4D77" w:rsidRPr="001C4D77" w:rsidRDefault="001C4D77" w:rsidP="001C4D77"/>
              </w:tc>
            </w:tr>
          </w:tbl>
          <w:p w14:paraId="2EB9B0C2" w14:textId="77777777" w:rsidR="001C4D77" w:rsidRPr="001C4D77" w:rsidRDefault="001C4D77" w:rsidP="001C4D77"/>
        </w:tc>
      </w:tr>
    </w:tbl>
    <w:p w14:paraId="4972DCF5"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7FE43FB4"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18BE885E" w14:textId="77777777" w:rsidTr="001C4D77">
              <w:trPr>
                <w:jc w:val="center"/>
              </w:trPr>
              <w:tc>
                <w:tcPr>
                  <w:tcW w:w="0" w:type="auto"/>
                  <w:shd w:val="clear" w:color="auto" w:fill="FFFFFF"/>
                  <w:tcMar>
                    <w:top w:w="0" w:type="dxa"/>
                    <w:left w:w="135" w:type="dxa"/>
                    <w:bottom w:w="135"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7653D7AB" w14:textId="77777777" w:rsidTr="001C4D77">
                    <w:trPr>
                      <w:jc w:val="center"/>
                    </w:trPr>
                    <w:tc>
                      <w:tcPr>
                        <w:tcW w:w="5000" w:type="pct"/>
                        <w:tcMar>
                          <w:top w:w="75" w:type="dxa"/>
                          <w:left w:w="30" w:type="dxa"/>
                          <w:bottom w:w="75" w:type="dxa"/>
                          <w:right w:w="30" w:type="dxa"/>
                        </w:tcMar>
                        <w:hideMark/>
                      </w:tcPr>
                      <w:p w14:paraId="569391F9" w14:textId="77777777" w:rsidR="001C4D77" w:rsidRPr="001C4D77" w:rsidRDefault="001C4D77" w:rsidP="001C4D77">
                        <w:r w:rsidRPr="001C4D77">
                          <w:rPr>
                            <w:b/>
                            <w:bCs/>
                          </w:rPr>
                          <w:t>Lloyds Bank Foundation: Local Collaborations Programme</w:t>
                        </w:r>
                      </w:p>
                    </w:tc>
                  </w:tr>
                  <w:tr w:rsidR="001C4D77" w:rsidRPr="001C4D77" w14:paraId="68AFC512" w14:textId="77777777" w:rsidTr="001C4D77">
                    <w:trPr>
                      <w:jc w:val="center"/>
                    </w:trPr>
                    <w:tc>
                      <w:tcPr>
                        <w:tcW w:w="5000" w:type="pct"/>
                        <w:tcMar>
                          <w:top w:w="75" w:type="dxa"/>
                          <w:left w:w="30" w:type="dxa"/>
                          <w:bottom w:w="75" w:type="dxa"/>
                          <w:right w:w="30" w:type="dxa"/>
                        </w:tcMar>
                        <w:hideMark/>
                      </w:tcPr>
                      <w:p w14:paraId="0985AFA3" w14:textId="77777777" w:rsidR="001C4D77" w:rsidRPr="001C4D77" w:rsidRDefault="001C4D77" w:rsidP="001C4D77">
                        <w:r w:rsidRPr="001C4D77">
                          <w:t>This programme will support collaborations led by small charities seeking to influence and achieve local or regional change around improving the social security system, improving access to suitable accommodation, and support for asylum seekers and refugees.</w:t>
                        </w:r>
                        <w:r w:rsidRPr="001C4D77">
                          <w:br/>
                        </w:r>
                        <w:r w:rsidRPr="001C4D77">
                          <w:br/>
                          <w:t>Collaborations can apply for grants of £100,000 over two years.</w:t>
                        </w:r>
                      </w:p>
                    </w:tc>
                  </w:tr>
                  <w:tr w:rsidR="001C4D77" w:rsidRPr="001C4D77" w14:paraId="317566CF" w14:textId="77777777" w:rsidTr="001C4D77">
                    <w:trPr>
                      <w:jc w:val="center"/>
                    </w:trPr>
                    <w:tc>
                      <w:tcPr>
                        <w:tcW w:w="0" w:type="auto"/>
                        <w:tcMar>
                          <w:top w:w="75" w:type="dxa"/>
                          <w:left w:w="30" w:type="dxa"/>
                          <w:bottom w:w="75" w:type="dxa"/>
                          <w:right w:w="30" w:type="dxa"/>
                        </w:tcMar>
                        <w:hideMark/>
                      </w:tcPr>
                      <w:tbl>
                        <w:tblPr>
                          <w:tblW w:w="0" w:type="auto"/>
                          <w:jc w:val="center"/>
                          <w:tblCellSpacing w:w="0" w:type="dxa"/>
                          <w:tblCellMar>
                            <w:top w:w="72" w:type="dxa"/>
                            <w:left w:w="72" w:type="dxa"/>
                            <w:bottom w:w="72" w:type="dxa"/>
                            <w:right w:w="72" w:type="dxa"/>
                          </w:tblCellMar>
                          <w:tblLook w:val="04A0" w:firstRow="1" w:lastRow="0" w:firstColumn="1" w:lastColumn="0" w:noHBand="0" w:noVBand="1"/>
                        </w:tblPr>
                        <w:tblGrid>
                          <w:gridCol w:w="1934"/>
                        </w:tblGrid>
                        <w:tr w:rsidR="001C4D77" w:rsidRPr="001C4D77" w14:paraId="3551467B" w14:textId="77777777">
                          <w:trPr>
                            <w:tblCellSpacing w:w="0" w:type="dxa"/>
                            <w:jc w:val="center"/>
                          </w:trPr>
                          <w:tc>
                            <w:tcPr>
                              <w:tcW w:w="0" w:type="auto"/>
                              <w:tcBorders>
                                <w:top w:val="single" w:sz="6" w:space="0" w:color="3F3F3F"/>
                                <w:left w:val="single" w:sz="6" w:space="0" w:color="3F3F3F"/>
                                <w:bottom w:val="single" w:sz="6" w:space="0" w:color="3F3F3F"/>
                                <w:right w:val="single" w:sz="6" w:space="0" w:color="3F3F3F"/>
                              </w:tcBorders>
                              <w:shd w:val="clear" w:color="auto" w:fill="92CDDC"/>
                              <w:tcMar>
                                <w:top w:w="90" w:type="dxa"/>
                                <w:left w:w="270" w:type="dxa"/>
                                <w:bottom w:w="90" w:type="dxa"/>
                                <w:right w:w="270" w:type="dxa"/>
                              </w:tcMar>
                              <w:vAlign w:val="center"/>
                              <w:hideMark/>
                            </w:tcPr>
                            <w:p w14:paraId="3A2840F8" w14:textId="77777777" w:rsidR="001C4D77" w:rsidRPr="001C4D77" w:rsidRDefault="001C4D77" w:rsidP="001C4D77">
                              <w:hyperlink r:id="rId8" w:tgtFrame="_new" w:history="1">
                                <w:r w:rsidRPr="001C4D77">
                                  <w:rPr>
                                    <w:rStyle w:val="Hyperlink"/>
                                  </w:rPr>
                                  <w:t>Find out more.</w:t>
                                </w:r>
                              </w:hyperlink>
                            </w:p>
                          </w:tc>
                        </w:tr>
                      </w:tbl>
                      <w:p w14:paraId="0A09B51A" w14:textId="77777777" w:rsidR="001C4D77" w:rsidRPr="001C4D77" w:rsidRDefault="001C4D77" w:rsidP="001C4D77"/>
                    </w:tc>
                  </w:tr>
                </w:tbl>
                <w:p w14:paraId="7FF5EE29" w14:textId="77777777" w:rsidR="001C4D77" w:rsidRPr="001C4D77" w:rsidRDefault="001C4D77" w:rsidP="001C4D77"/>
              </w:tc>
            </w:tr>
          </w:tbl>
          <w:p w14:paraId="60824029" w14:textId="77777777" w:rsidR="001C4D77" w:rsidRPr="001C4D77" w:rsidRDefault="001C4D77" w:rsidP="001C4D77"/>
        </w:tc>
      </w:tr>
    </w:tbl>
    <w:p w14:paraId="726CE249"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3A4E1F82"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6AD12E91" w14:textId="77777777" w:rsidTr="001C4D77">
              <w:trPr>
                <w:jc w:val="center"/>
              </w:trPr>
              <w:tc>
                <w:tcPr>
                  <w:tcW w:w="0" w:type="auto"/>
                  <w:shd w:val="clear" w:color="auto" w:fill="FFFFFF"/>
                  <w:tcMar>
                    <w:top w:w="0" w:type="dxa"/>
                    <w:left w:w="135" w:type="dxa"/>
                    <w:bottom w:w="135"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567C47DA" w14:textId="77777777" w:rsidTr="001C4D77">
                    <w:trPr>
                      <w:jc w:val="center"/>
                    </w:trPr>
                    <w:tc>
                      <w:tcPr>
                        <w:tcW w:w="5000" w:type="pct"/>
                        <w:tcMar>
                          <w:top w:w="75" w:type="dxa"/>
                          <w:left w:w="30" w:type="dxa"/>
                          <w:bottom w:w="75" w:type="dxa"/>
                          <w:right w:w="30" w:type="dxa"/>
                        </w:tcMar>
                        <w:hideMark/>
                      </w:tcPr>
                      <w:p w14:paraId="5631FB23" w14:textId="77777777" w:rsidR="001C4D77" w:rsidRPr="001C4D77" w:rsidRDefault="001C4D77" w:rsidP="001C4D77">
                        <w:r w:rsidRPr="001C4D77">
                          <w:rPr>
                            <w:b/>
                            <w:bCs/>
                          </w:rPr>
                          <w:t>WCIT Charity Grant</w:t>
                        </w:r>
                      </w:p>
                    </w:tc>
                  </w:tr>
                  <w:tr w:rsidR="001C4D77" w:rsidRPr="001C4D77" w14:paraId="604838ED" w14:textId="77777777" w:rsidTr="001C4D77">
                    <w:trPr>
                      <w:jc w:val="center"/>
                    </w:trPr>
                    <w:tc>
                      <w:tcPr>
                        <w:tcW w:w="5000" w:type="pct"/>
                        <w:tcMar>
                          <w:top w:w="75" w:type="dxa"/>
                          <w:left w:w="30" w:type="dxa"/>
                          <w:bottom w:w="75" w:type="dxa"/>
                          <w:right w:w="30" w:type="dxa"/>
                        </w:tcMar>
                        <w:hideMark/>
                      </w:tcPr>
                      <w:p w14:paraId="78DD63BD" w14:textId="77777777" w:rsidR="001C4D77" w:rsidRPr="001C4D77" w:rsidRDefault="001C4D77" w:rsidP="001C4D77">
                        <w:r w:rsidRPr="001C4D77">
                          <w:t>The Worshipful Company of Information Technologies Charity funds a wide range of non-profit organisations and aims to strengthen communities using the power of technology.</w:t>
                        </w:r>
                        <w:r w:rsidRPr="001C4D77">
                          <w:br/>
                        </w:r>
                        <w:r w:rsidRPr="001C4D77">
                          <w:br/>
                          <w:t>They fund projects that use the power of tech for impact through digital inclusion, education, charitable, and public engagement initiatives across the entire UK.</w:t>
                        </w:r>
                        <w:r w:rsidRPr="001C4D77">
                          <w:br/>
                        </w:r>
                        <w:r w:rsidRPr="001C4D77">
                          <w:br/>
                        </w:r>
                        <w:r w:rsidRPr="001C4D77">
                          <w:rPr>
                            <w:b/>
                            <w:bCs/>
                          </w:rPr>
                          <w:t>Deadline:</w:t>
                        </w:r>
                        <w:r w:rsidRPr="001C4D77">
                          <w:t> 5pm, 7th May 2025</w:t>
                        </w:r>
                      </w:p>
                    </w:tc>
                  </w:tr>
                  <w:tr w:rsidR="001C4D77" w:rsidRPr="001C4D77" w14:paraId="5C7EB5EF" w14:textId="77777777" w:rsidTr="001C4D77">
                    <w:trPr>
                      <w:jc w:val="center"/>
                    </w:trPr>
                    <w:tc>
                      <w:tcPr>
                        <w:tcW w:w="0" w:type="auto"/>
                        <w:tcMar>
                          <w:top w:w="75" w:type="dxa"/>
                          <w:left w:w="30" w:type="dxa"/>
                          <w:bottom w:w="75" w:type="dxa"/>
                          <w:right w:w="30" w:type="dxa"/>
                        </w:tcMar>
                        <w:hideMark/>
                      </w:tcPr>
                      <w:tbl>
                        <w:tblPr>
                          <w:tblW w:w="0" w:type="auto"/>
                          <w:jc w:val="center"/>
                          <w:tblCellSpacing w:w="0" w:type="dxa"/>
                          <w:tblCellMar>
                            <w:top w:w="72" w:type="dxa"/>
                            <w:left w:w="72" w:type="dxa"/>
                            <w:bottom w:w="72" w:type="dxa"/>
                            <w:right w:w="72" w:type="dxa"/>
                          </w:tblCellMar>
                          <w:tblLook w:val="04A0" w:firstRow="1" w:lastRow="0" w:firstColumn="1" w:lastColumn="0" w:noHBand="0" w:noVBand="1"/>
                        </w:tblPr>
                        <w:tblGrid>
                          <w:gridCol w:w="2261"/>
                        </w:tblGrid>
                        <w:tr w:rsidR="001C4D77" w:rsidRPr="001C4D77" w14:paraId="5FDB18F9" w14:textId="77777777">
                          <w:trPr>
                            <w:tblCellSpacing w:w="0" w:type="dxa"/>
                            <w:jc w:val="center"/>
                          </w:trPr>
                          <w:tc>
                            <w:tcPr>
                              <w:tcW w:w="0" w:type="auto"/>
                              <w:tcBorders>
                                <w:top w:val="single" w:sz="6" w:space="0" w:color="3F3F3F"/>
                                <w:left w:val="single" w:sz="6" w:space="0" w:color="3F3F3F"/>
                                <w:bottom w:val="single" w:sz="6" w:space="0" w:color="3F3F3F"/>
                                <w:right w:val="single" w:sz="6" w:space="0" w:color="3F3F3F"/>
                              </w:tcBorders>
                              <w:shd w:val="clear" w:color="auto" w:fill="92CDDC"/>
                              <w:tcMar>
                                <w:top w:w="90" w:type="dxa"/>
                                <w:left w:w="270" w:type="dxa"/>
                                <w:bottom w:w="90" w:type="dxa"/>
                                <w:right w:w="270" w:type="dxa"/>
                              </w:tcMar>
                              <w:vAlign w:val="center"/>
                              <w:hideMark/>
                            </w:tcPr>
                            <w:p w14:paraId="4DBCD242" w14:textId="77777777" w:rsidR="001C4D77" w:rsidRPr="001C4D77" w:rsidRDefault="001C4D77" w:rsidP="001C4D77">
                              <w:hyperlink r:id="rId9" w:tgtFrame="_new" w:history="1">
                                <w:r w:rsidRPr="001C4D77">
                                  <w:rPr>
                                    <w:rStyle w:val="Hyperlink"/>
                                  </w:rPr>
                                  <w:t>More information.</w:t>
                                </w:r>
                              </w:hyperlink>
                            </w:p>
                          </w:tc>
                        </w:tr>
                      </w:tbl>
                      <w:p w14:paraId="7359F0FB" w14:textId="77777777" w:rsidR="001C4D77" w:rsidRPr="001C4D77" w:rsidRDefault="001C4D77" w:rsidP="001C4D77"/>
                    </w:tc>
                  </w:tr>
                </w:tbl>
                <w:p w14:paraId="04166945" w14:textId="77777777" w:rsidR="001C4D77" w:rsidRPr="001C4D77" w:rsidRDefault="001C4D77" w:rsidP="001C4D77"/>
              </w:tc>
            </w:tr>
          </w:tbl>
          <w:p w14:paraId="75F45AD9" w14:textId="77777777" w:rsidR="001C4D77" w:rsidRPr="001C4D77" w:rsidRDefault="001C4D77" w:rsidP="001C4D77"/>
        </w:tc>
      </w:tr>
    </w:tbl>
    <w:p w14:paraId="621B8E9F" w14:textId="77777777" w:rsidR="001C4D77" w:rsidRPr="001C4D77" w:rsidRDefault="001C4D77" w:rsidP="001C4D77">
      <w:pPr>
        <w:rPr>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1C4D77" w:rsidRPr="001C4D77" w14:paraId="084F58DB" w14:textId="77777777" w:rsidTr="001C4D77">
        <w:trPr>
          <w:tblCellSpacing w:w="0" w:type="dxa"/>
        </w:trPr>
        <w:tc>
          <w:tcPr>
            <w:tcW w:w="0" w:type="auto"/>
            <w:shd w:val="clear" w:color="auto" w:fill="FFFFFF"/>
            <w:tcMar>
              <w:top w:w="0" w:type="dxa"/>
              <w:left w:w="135" w:type="dxa"/>
              <w:bottom w:w="0" w:type="dxa"/>
              <w:right w:w="135" w:type="dxa"/>
            </w:tcMar>
            <w:hideMark/>
          </w:tcPr>
          <w:tbl>
            <w:tblPr>
              <w:tblW w:w="8550" w:type="dxa"/>
              <w:jc w:val="center"/>
              <w:shd w:val="clear" w:color="auto" w:fill="FFFFFF"/>
              <w:tblCellMar>
                <w:left w:w="0" w:type="dxa"/>
                <w:right w:w="0" w:type="dxa"/>
              </w:tblCellMar>
              <w:tblLook w:val="04A0" w:firstRow="1" w:lastRow="0" w:firstColumn="1" w:lastColumn="0" w:noHBand="0" w:noVBand="1"/>
            </w:tblPr>
            <w:tblGrid>
              <w:gridCol w:w="8550"/>
            </w:tblGrid>
            <w:tr w:rsidR="001C4D77" w:rsidRPr="001C4D77" w14:paraId="746B4E3C" w14:textId="77777777" w:rsidTr="001C4D77">
              <w:trPr>
                <w:jc w:val="center"/>
              </w:trPr>
              <w:tc>
                <w:tcPr>
                  <w:tcW w:w="0" w:type="auto"/>
                  <w:shd w:val="clear" w:color="auto" w:fill="FFFFFF"/>
                  <w:tcMar>
                    <w:top w:w="0" w:type="dxa"/>
                    <w:left w:w="135" w:type="dxa"/>
                    <w:bottom w:w="180" w:type="dxa"/>
                    <w:right w:w="135" w:type="dxa"/>
                  </w:tcMar>
                  <w:hideMark/>
                </w:tcPr>
                <w:tbl>
                  <w:tblPr>
                    <w:tblW w:w="8280" w:type="dxa"/>
                    <w:jc w:val="center"/>
                    <w:tblCellMar>
                      <w:left w:w="0" w:type="dxa"/>
                      <w:right w:w="0" w:type="dxa"/>
                    </w:tblCellMar>
                    <w:tblLook w:val="04A0" w:firstRow="1" w:lastRow="0" w:firstColumn="1" w:lastColumn="0" w:noHBand="0" w:noVBand="1"/>
                  </w:tblPr>
                  <w:tblGrid>
                    <w:gridCol w:w="8280"/>
                  </w:tblGrid>
                  <w:tr w:rsidR="001C4D77" w:rsidRPr="001C4D77" w14:paraId="3FCA6100" w14:textId="77777777" w:rsidTr="001C4D77">
                    <w:trPr>
                      <w:jc w:val="center"/>
                    </w:trPr>
                    <w:tc>
                      <w:tcPr>
                        <w:tcW w:w="5000" w:type="pct"/>
                        <w:tcMar>
                          <w:top w:w="75" w:type="dxa"/>
                          <w:left w:w="30" w:type="dxa"/>
                          <w:bottom w:w="75" w:type="dxa"/>
                          <w:right w:w="30" w:type="dxa"/>
                        </w:tcMar>
                        <w:hideMark/>
                      </w:tcPr>
                      <w:p w14:paraId="563B6624" w14:textId="77777777" w:rsidR="001C4D77" w:rsidRPr="001C4D77" w:rsidRDefault="001C4D77" w:rsidP="001C4D77">
                        <w:r w:rsidRPr="001C4D77">
                          <w:rPr>
                            <w:b/>
                            <w:bCs/>
                          </w:rPr>
                          <w:t>London Councils Pan-London Grants Programme 2026-2030 </w:t>
                        </w:r>
                      </w:p>
                    </w:tc>
                  </w:tr>
                  <w:tr w:rsidR="001C4D77" w:rsidRPr="001C4D77" w14:paraId="32804B16" w14:textId="77777777" w:rsidTr="001C4D77">
                    <w:trPr>
                      <w:jc w:val="center"/>
                    </w:trPr>
                    <w:tc>
                      <w:tcPr>
                        <w:tcW w:w="5000" w:type="pct"/>
                        <w:tcMar>
                          <w:top w:w="75" w:type="dxa"/>
                          <w:left w:w="30" w:type="dxa"/>
                          <w:bottom w:w="75" w:type="dxa"/>
                          <w:right w:w="30" w:type="dxa"/>
                        </w:tcMar>
                        <w:hideMark/>
                      </w:tcPr>
                      <w:p w14:paraId="51F80262" w14:textId="77777777" w:rsidR="001C4D77" w:rsidRPr="001C4D77" w:rsidRDefault="001C4D77" w:rsidP="001C4D77">
                        <w:r w:rsidRPr="001C4D77">
                          <w:t>A four-year initiative which will deliver vital services from April 2026 to March 2030 across the capital. The programme aims to tackle homelessness and domestic and sexual abuse, ensuring London’s most vulnerable residents receive the support they need. </w:t>
                        </w:r>
                        <w:r w:rsidRPr="001C4D77">
                          <w:br/>
                        </w:r>
                        <w:r w:rsidRPr="001C4D77">
                          <w:br/>
                          <w:t>London Councils funds </w:t>
                        </w:r>
                        <w:r w:rsidRPr="001C4D77">
                          <w:rPr>
                            <w:b/>
                            <w:bCs/>
                          </w:rPr>
                          <w:t>voluntary, community, and not-for-profit organisations</w:t>
                        </w:r>
                        <w:r w:rsidRPr="001C4D77">
                          <w:t> that specialise in homelessness and domestic abuse services.</w:t>
                        </w:r>
                        <w:r w:rsidRPr="001C4D77">
                          <w:br/>
                        </w:r>
                        <w:r w:rsidRPr="001C4D77">
                          <w:br/>
                        </w:r>
                        <w:r w:rsidRPr="001C4D77">
                          <w:rPr>
                            <w:b/>
                            <w:bCs/>
                          </w:rPr>
                          <w:t>Deadline: </w:t>
                        </w:r>
                        <w:r w:rsidRPr="001C4D77">
                          <w:t>12pm 14th May 2025</w:t>
                        </w:r>
                      </w:p>
                    </w:tc>
                  </w:tr>
                  <w:tr w:rsidR="001C4D77" w:rsidRPr="001C4D77" w14:paraId="58E68475" w14:textId="77777777" w:rsidTr="001C4D77">
                    <w:trPr>
                      <w:jc w:val="center"/>
                    </w:trPr>
                    <w:tc>
                      <w:tcPr>
                        <w:tcW w:w="0" w:type="auto"/>
                        <w:tcMar>
                          <w:top w:w="75" w:type="dxa"/>
                          <w:left w:w="30" w:type="dxa"/>
                          <w:bottom w:w="75" w:type="dxa"/>
                          <w:right w:w="30" w:type="dxa"/>
                        </w:tcMar>
                        <w:hideMark/>
                      </w:tcPr>
                      <w:tbl>
                        <w:tblPr>
                          <w:tblW w:w="0" w:type="auto"/>
                          <w:jc w:val="center"/>
                          <w:tblCellSpacing w:w="0" w:type="dxa"/>
                          <w:tblCellMar>
                            <w:top w:w="72" w:type="dxa"/>
                            <w:left w:w="72" w:type="dxa"/>
                            <w:bottom w:w="72" w:type="dxa"/>
                            <w:right w:w="72" w:type="dxa"/>
                          </w:tblCellMar>
                          <w:tblLook w:val="04A0" w:firstRow="1" w:lastRow="0" w:firstColumn="1" w:lastColumn="0" w:noHBand="0" w:noVBand="1"/>
                        </w:tblPr>
                        <w:tblGrid>
                          <w:gridCol w:w="2261"/>
                        </w:tblGrid>
                        <w:tr w:rsidR="001C4D77" w:rsidRPr="001C4D77" w14:paraId="24B11E72" w14:textId="77777777">
                          <w:trPr>
                            <w:tblCellSpacing w:w="0" w:type="dxa"/>
                            <w:jc w:val="center"/>
                          </w:trPr>
                          <w:tc>
                            <w:tcPr>
                              <w:tcW w:w="0" w:type="auto"/>
                              <w:tcBorders>
                                <w:top w:val="single" w:sz="6" w:space="0" w:color="3F3F3F"/>
                                <w:left w:val="single" w:sz="6" w:space="0" w:color="3F3F3F"/>
                                <w:bottom w:val="single" w:sz="6" w:space="0" w:color="3F3F3F"/>
                                <w:right w:val="single" w:sz="6" w:space="0" w:color="3F3F3F"/>
                              </w:tcBorders>
                              <w:shd w:val="clear" w:color="auto" w:fill="92CDDC"/>
                              <w:tcMar>
                                <w:top w:w="90" w:type="dxa"/>
                                <w:left w:w="270" w:type="dxa"/>
                                <w:bottom w:w="90" w:type="dxa"/>
                                <w:right w:w="270" w:type="dxa"/>
                              </w:tcMar>
                              <w:vAlign w:val="center"/>
                              <w:hideMark/>
                            </w:tcPr>
                            <w:p w14:paraId="7ECD4A87" w14:textId="77777777" w:rsidR="001C4D77" w:rsidRPr="001C4D77" w:rsidRDefault="001C4D77" w:rsidP="001C4D77">
                              <w:hyperlink r:id="rId10" w:tgtFrame="_new" w:history="1">
                                <w:r w:rsidRPr="001C4D77">
                                  <w:rPr>
                                    <w:rStyle w:val="Hyperlink"/>
                                  </w:rPr>
                                  <w:t>More information.</w:t>
                                </w:r>
                              </w:hyperlink>
                            </w:p>
                          </w:tc>
                        </w:tr>
                      </w:tbl>
                      <w:p w14:paraId="39E9C991" w14:textId="77777777" w:rsidR="001C4D77" w:rsidRPr="001C4D77" w:rsidRDefault="001C4D77" w:rsidP="001C4D77"/>
                    </w:tc>
                  </w:tr>
                </w:tbl>
                <w:p w14:paraId="1E7472F8" w14:textId="77777777" w:rsidR="001C4D77" w:rsidRPr="001C4D77" w:rsidRDefault="001C4D77" w:rsidP="001C4D77"/>
              </w:tc>
            </w:tr>
          </w:tbl>
          <w:p w14:paraId="53A55233" w14:textId="77777777" w:rsidR="001C4D77" w:rsidRPr="001C4D77" w:rsidRDefault="001C4D77" w:rsidP="001C4D77"/>
        </w:tc>
      </w:tr>
    </w:tbl>
    <w:p w14:paraId="1DE11117" w14:textId="77777777" w:rsidR="007333F9" w:rsidRDefault="007333F9"/>
    <w:sectPr w:rsidR="007333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77"/>
    <w:rsid w:val="001C4D77"/>
    <w:rsid w:val="005D7219"/>
    <w:rsid w:val="00733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59012"/>
  <w15:chartTrackingRefBased/>
  <w15:docId w15:val="{51764774-4EAE-44D3-96F8-6C4FBD0F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D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4D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4D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4D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4D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4D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4D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4D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4D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4D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4D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4D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4D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4D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4D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4D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4D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4D77"/>
    <w:rPr>
      <w:rFonts w:eastAsiaTheme="majorEastAsia" w:cstheme="majorBidi"/>
      <w:color w:val="272727" w:themeColor="text1" w:themeTint="D8"/>
    </w:rPr>
  </w:style>
  <w:style w:type="paragraph" w:styleId="Title">
    <w:name w:val="Title"/>
    <w:basedOn w:val="Normal"/>
    <w:next w:val="Normal"/>
    <w:link w:val="TitleChar"/>
    <w:uiPriority w:val="10"/>
    <w:qFormat/>
    <w:rsid w:val="001C4D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4D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4D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4D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4D77"/>
    <w:pPr>
      <w:spacing w:before="160"/>
      <w:jc w:val="center"/>
    </w:pPr>
    <w:rPr>
      <w:i/>
      <w:iCs/>
      <w:color w:val="404040" w:themeColor="text1" w:themeTint="BF"/>
    </w:rPr>
  </w:style>
  <w:style w:type="character" w:customStyle="1" w:styleId="QuoteChar">
    <w:name w:val="Quote Char"/>
    <w:basedOn w:val="DefaultParagraphFont"/>
    <w:link w:val="Quote"/>
    <w:uiPriority w:val="29"/>
    <w:rsid w:val="001C4D77"/>
    <w:rPr>
      <w:i/>
      <w:iCs/>
      <w:color w:val="404040" w:themeColor="text1" w:themeTint="BF"/>
    </w:rPr>
  </w:style>
  <w:style w:type="paragraph" w:styleId="ListParagraph">
    <w:name w:val="List Paragraph"/>
    <w:basedOn w:val="Normal"/>
    <w:uiPriority w:val="34"/>
    <w:qFormat/>
    <w:rsid w:val="001C4D77"/>
    <w:pPr>
      <w:ind w:left="720"/>
      <w:contextualSpacing/>
    </w:pPr>
  </w:style>
  <w:style w:type="character" w:styleId="IntenseEmphasis">
    <w:name w:val="Intense Emphasis"/>
    <w:basedOn w:val="DefaultParagraphFont"/>
    <w:uiPriority w:val="21"/>
    <w:qFormat/>
    <w:rsid w:val="001C4D77"/>
    <w:rPr>
      <w:i/>
      <w:iCs/>
      <w:color w:val="0F4761" w:themeColor="accent1" w:themeShade="BF"/>
    </w:rPr>
  </w:style>
  <w:style w:type="paragraph" w:styleId="IntenseQuote">
    <w:name w:val="Intense Quote"/>
    <w:basedOn w:val="Normal"/>
    <w:next w:val="Normal"/>
    <w:link w:val="IntenseQuoteChar"/>
    <w:uiPriority w:val="30"/>
    <w:qFormat/>
    <w:rsid w:val="001C4D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4D77"/>
    <w:rPr>
      <w:i/>
      <w:iCs/>
      <w:color w:val="0F4761" w:themeColor="accent1" w:themeShade="BF"/>
    </w:rPr>
  </w:style>
  <w:style w:type="character" w:styleId="IntenseReference">
    <w:name w:val="Intense Reference"/>
    <w:basedOn w:val="DefaultParagraphFont"/>
    <w:uiPriority w:val="32"/>
    <w:qFormat/>
    <w:rsid w:val="001C4D77"/>
    <w:rPr>
      <w:b/>
      <w:bCs/>
      <w:smallCaps/>
      <w:color w:val="0F4761" w:themeColor="accent1" w:themeShade="BF"/>
      <w:spacing w:val="5"/>
    </w:rPr>
  </w:style>
  <w:style w:type="character" w:styleId="Hyperlink">
    <w:name w:val="Hyperlink"/>
    <w:basedOn w:val="DefaultParagraphFont"/>
    <w:uiPriority w:val="99"/>
    <w:unhideWhenUsed/>
    <w:rsid w:val="001C4D77"/>
    <w:rPr>
      <w:color w:val="467886" w:themeColor="hyperlink"/>
      <w:u w:val="single"/>
    </w:rPr>
  </w:style>
  <w:style w:type="character" w:styleId="UnresolvedMention">
    <w:name w:val="Unresolved Mention"/>
    <w:basedOn w:val="DefaultParagraphFont"/>
    <w:uiPriority w:val="99"/>
    <w:semiHidden/>
    <w:unhideWhenUsed/>
    <w:rsid w:val="001C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148372">
      <w:bodyDiv w:val="1"/>
      <w:marLeft w:val="0"/>
      <w:marRight w:val="0"/>
      <w:marTop w:val="0"/>
      <w:marBottom w:val="0"/>
      <w:divBdr>
        <w:top w:val="none" w:sz="0" w:space="0" w:color="auto"/>
        <w:left w:val="none" w:sz="0" w:space="0" w:color="auto"/>
        <w:bottom w:val="none" w:sz="0" w:space="0" w:color="auto"/>
        <w:right w:val="none" w:sz="0" w:space="0" w:color="auto"/>
      </w:divBdr>
      <w:divsChild>
        <w:div w:id="2000838505">
          <w:marLeft w:val="0"/>
          <w:marRight w:val="0"/>
          <w:marTop w:val="0"/>
          <w:marBottom w:val="0"/>
          <w:divBdr>
            <w:top w:val="none" w:sz="0" w:space="0" w:color="auto"/>
            <w:left w:val="none" w:sz="0" w:space="0" w:color="auto"/>
            <w:bottom w:val="none" w:sz="0" w:space="0" w:color="auto"/>
            <w:right w:val="none" w:sz="0" w:space="0" w:color="auto"/>
          </w:divBdr>
          <w:divsChild>
            <w:div w:id="1609005302">
              <w:marLeft w:val="0"/>
              <w:marRight w:val="0"/>
              <w:marTop w:val="0"/>
              <w:marBottom w:val="0"/>
              <w:divBdr>
                <w:top w:val="none" w:sz="0" w:space="0" w:color="auto"/>
                <w:left w:val="none" w:sz="0" w:space="0" w:color="auto"/>
                <w:bottom w:val="none" w:sz="0" w:space="0" w:color="auto"/>
                <w:right w:val="none" w:sz="0" w:space="0" w:color="auto"/>
              </w:divBdr>
            </w:div>
          </w:divsChild>
        </w:div>
        <w:div w:id="607347127">
          <w:marLeft w:val="0"/>
          <w:marRight w:val="0"/>
          <w:marTop w:val="0"/>
          <w:marBottom w:val="0"/>
          <w:divBdr>
            <w:top w:val="none" w:sz="0" w:space="0" w:color="auto"/>
            <w:left w:val="none" w:sz="0" w:space="0" w:color="auto"/>
            <w:bottom w:val="none" w:sz="0" w:space="0" w:color="auto"/>
            <w:right w:val="none" w:sz="0" w:space="0" w:color="auto"/>
          </w:divBdr>
          <w:divsChild>
            <w:div w:id="1211456642">
              <w:marLeft w:val="0"/>
              <w:marRight w:val="0"/>
              <w:marTop w:val="0"/>
              <w:marBottom w:val="0"/>
              <w:divBdr>
                <w:top w:val="none" w:sz="0" w:space="0" w:color="auto"/>
                <w:left w:val="none" w:sz="0" w:space="0" w:color="auto"/>
                <w:bottom w:val="none" w:sz="0" w:space="0" w:color="auto"/>
                <w:right w:val="none" w:sz="0" w:space="0" w:color="auto"/>
              </w:divBdr>
            </w:div>
          </w:divsChild>
        </w:div>
        <w:div w:id="1780295562">
          <w:marLeft w:val="0"/>
          <w:marRight w:val="0"/>
          <w:marTop w:val="0"/>
          <w:marBottom w:val="0"/>
          <w:divBdr>
            <w:top w:val="none" w:sz="0" w:space="0" w:color="auto"/>
            <w:left w:val="none" w:sz="0" w:space="0" w:color="auto"/>
            <w:bottom w:val="none" w:sz="0" w:space="0" w:color="auto"/>
            <w:right w:val="none" w:sz="0" w:space="0" w:color="auto"/>
          </w:divBdr>
        </w:div>
        <w:div w:id="403721271">
          <w:marLeft w:val="0"/>
          <w:marRight w:val="0"/>
          <w:marTop w:val="0"/>
          <w:marBottom w:val="0"/>
          <w:divBdr>
            <w:top w:val="none" w:sz="0" w:space="0" w:color="auto"/>
            <w:left w:val="none" w:sz="0" w:space="0" w:color="auto"/>
            <w:bottom w:val="none" w:sz="0" w:space="0" w:color="auto"/>
            <w:right w:val="none" w:sz="0" w:space="0" w:color="auto"/>
          </w:divBdr>
          <w:divsChild>
            <w:div w:id="2144077006">
              <w:marLeft w:val="0"/>
              <w:marRight w:val="0"/>
              <w:marTop w:val="0"/>
              <w:marBottom w:val="0"/>
              <w:divBdr>
                <w:top w:val="none" w:sz="0" w:space="0" w:color="auto"/>
                <w:left w:val="none" w:sz="0" w:space="0" w:color="auto"/>
                <w:bottom w:val="none" w:sz="0" w:space="0" w:color="auto"/>
                <w:right w:val="none" w:sz="0" w:space="0" w:color="auto"/>
              </w:divBdr>
            </w:div>
          </w:divsChild>
        </w:div>
        <w:div w:id="1254777315">
          <w:marLeft w:val="0"/>
          <w:marRight w:val="0"/>
          <w:marTop w:val="0"/>
          <w:marBottom w:val="0"/>
          <w:divBdr>
            <w:top w:val="none" w:sz="0" w:space="0" w:color="auto"/>
            <w:left w:val="none" w:sz="0" w:space="0" w:color="auto"/>
            <w:bottom w:val="none" w:sz="0" w:space="0" w:color="auto"/>
            <w:right w:val="none" w:sz="0" w:space="0" w:color="auto"/>
          </w:divBdr>
          <w:divsChild>
            <w:div w:id="972834323">
              <w:marLeft w:val="0"/>
              <w:marRight w:val="0"/>
              <w:marTop w:val="0"/>
              <w:marBottom w:val="0"/>
              <w:divBdr>
                <w:top w:val="none" w:sz="0" w:space="0" w:color="auto"/>
                <w:left w:val="none" w:sz="0" w:space="0" w:color="auto"/>
                <w:bottom w:val="none" w:sz="0" w:space="0" w:color="auto"/>
                <w:right w:val="none" w:sz="0" w:space="0" w:color="auto"/>
              </w:divBdr>
            </w:div>
          </w:divsChild>
        </w:div>
        <w:div w:id="333609910">
          <w:marLeft w:val="0"/>
          <w:marRight w:val="0"/>
          <w:marTop w:val="0"/>
          <w:marBottom w:val="0"/>
          <w:divBdr>
            <w:top w:val="none" w:sz="0" w:space="0" w:color="auto"/>
            <w:left w:val="none" w:sz="0" w:space="0" w:color="auto"/>
            <w:bottom w:val="none" w:sz="0" w:space="0" w:color="auto"/>
            <w:right w:val="none" w:sz="0" w:space="0" w:color="auto"/>
          </w:divBdr>
          <w:divsChild>
            <w:div w:id="1371225838">
              <w:marLeft w:val="0"/>
              <w:marRight w:val="0"/>
              <w:marTop w:val="0"/>
              <w:marBottom w:val="0"/>
              <w:divBdr>
                <w:top w:val="none" w:sz="0" w:space="0" w:color="auto"/>
                <w:left w:val="none" w:sz="0" w:space="0" w:color="auto"/>
                <w:bottom w:val="none" w:sz="0" w:space="0" w:color="auto"/>
                <w:right w:val="none" w:sz="0" w:space="0" w:color="auto"/>
              </w:divBdr>
            </w:div>
          </w:divsChild>
        </w:div>
        <w:div w:id="1835340992">
          <w:marLeft w:val="0"/>
          <w:marRight w:val="0"/>
          <w:marTop w:val="0"/>
          <w:marBottom w:val="0"/>
          <w:divBdr>
            <w:top w:val="none" w:sz="0" w:space="0" w:color="auto"/>
            <w:left w:val="none" w:sz="0" w:space="0" w:color="auto"/>
            <w:bottom w:val="none" w:sz="0" w:space="0" w:color="auto"/>
            <w:right w:val="none" w:sz="0" w:space="0" w:color="auto"/>
          </w:divBdr>
          <w:divsChild>
            <w:div w:id="200635326">
              <w:marLeft w:val="0"/>
              <w:marRight w:val="0"/>
              <w:marTop w:val="0"/>
              <w:marBottom w:val="0"/>
              <w:divBdr>
                <w:top w:val="none" w:sz="0" w:space="0" w:color="auto"/>
                <w:left w:val="none" w:sz="0" w:space="0" w:color="auto"/>
                <w:bottom w:val="none" w:sz="0" w:space="0" w:color="auto"/>
                <w:right w:val="none" w:sz="0" w:space="0" w:color="auto"/>
              </w:divBdr>
            </w:div>
          </w:divsChild>
        </w:div>
        <w:div w:id="565143118">
          <w:marLeft w:val="0"/>
          <w:marRight w:val="0"/>
          <w:marTop w:val="0"/>
          <w:marBottom w:val="0"/>
          <w:divBdr>
            <w:top w:val="none" w:sz="0" w:space="0" w:color="auto"/>
            <w:left w:val="none" w:sz="0" w:space="0" w:color="auto"/>
            <w:bottom w:val="none" w:sz="0" w:space="0" w:color="auto"/>
            <w:right w:val="none" w:sz="0" w:space="0" w:color="auto"/>
          </w:divBdr>
          <w:divsChild>
            <w:div w:id="1894076401">
              <w:marLeft w:val="0"/>
              <w:marRight w:val="0"/>
              <w:marTop w:val="0"/>
              <w:marBottom w:val="0"/>
              <w:divBdr>
                <w:top w:val="none" w:sz="0" w:space="0" w:color="auto"/>
                <w:left w:val="none" w:sz="0" w:space="0" w:color="auto"/>
                <w:bottom w:val="none" w:sz="0" w:space="0" w:color="auto"/>
                <w:right w:val="none" w:sz="0" w:space="0" w:color="auto"/>
              </w:divBdr>
            </w:div>
          </w:divsChild>
        </w:div>
        <w:div w:id="888221519">
          <w:marLeft w:val="0"/>
          <w:marRight w:val="0"/>
          <w:marTop w:val="0"/>
          <w:marBottom w:val="0"/>
          <w:divBdr>
            <w:top w:val="none" w:sz="0" w:space="0" w:color="auto"/>
            <w:left w:val="none" w:sz="0" w:space="0" w:color="auto"/>
            <w:bottom w:val="none" w:sz="0" w:space="0" w:color="auto"/>
            <w:right w:val="none" w:sz="0" w:space="0" w:color="auto"/>
          </w:divBdr>
          <w:divsChild>
            <w:div w:id="2118524175">
              <w:marLeft w:val="0"/>
              <w:marRight w:val="0"/>
              <w:marTop w:val="0"/>
              <w:marBottom w:val="0"/>
              <w:divBdr>
                <w:top w:val="none" w:sz="0" w:space="0" w:color="auto"/>
                <w:left w:val="none" w:sz="0" w:space="0" w:color="auto"/>
                <w:bottom w:val="none" w:sz="0" w:space="0" w:color="auto"/>
                <w:right w:val="none" w:sz="0" w:space="0" w:color="auto"/>
              </w:divBdr>
            </w:div>
          </w:divsChild>
        </w:div>
        <w:div w:id="563445411">
          <w:marLeft w:val="0"/>
          <w:marRight w:val="0"/>
          <w:marTop w:val="0"/>
          <w:marBottom w:val="0"/>
          <w:divBdr>
            <w:top w:val="none" w:sz="0" w:space="0" w:color="auto"/>
            <w:left w:val="none" w:sz="0" w:space="0" w:color="auto"/>
            <w:bottom w:val="none" w:sz="0" w:space="0" w:color="auto"/>
            <w:right w:val="none" w:sz="0" w:space="0" w:color="auto"/>
          </w:divBdr>
          <w:divsChild>
            <w:div w:id="1122383709">
              <w:marLeft w:val="0"/>
              <w:marRight w:val="0"/>
              <w:marTop w:val="0"/>
              <w:marBottom w:val="0"/>
              <w:divBdr>
                <w:top w:val="none" w:sz="0" w:space="0" w:color="auto"/>
                <w:left w:val="none" w:sz="0" w:space="0" w:color="auto"/>
                <w:bottom w:val="none" w:sz="0" w:space="0" w:color="auto"/>
                <w:right w:val="none" w:sz="0" w:space="0" w:color="auto"/>
              </w:divBdr>
            </w:div>
          </w:divsChild>
        </w:div>
        <w:div w:id="2125729819">
          <w:marLeft w:val="0"/>
          <w:marRight w:val="0"/>
          <w:marTop w:val="0"/>
          <w:marBottom w:val="0"/>
          <w:divBdr>
            <w:top w:val="none" w:sz="0" w:space="0" w:color="auto"/>
            <w:left w:val="none" w:sz="0" w:space="0" w:color="auto"/>
            <w:bottom w:val="none" w:sz="0" w:space="0" w:color="auto"/>
            <w:right w:val="none" w:sz="0" w:space="0" w:color="auto"/>
          </w:divBdr>
          <w:divsChild>
            <w:div w:id="5275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479220">
      <w:bodyDiv w:val="1"/>
      <w:marLeft w:val="0"/>
      <w:marRight w:val="0"/>
      <w:marTop w:val="0"/>
      <w:marBottom w:val="0"/>
      <w:divBdr>
        <w:top w:val="none" w:sz="0" w:space="0" w:color="auto"/>
        <w:left w:val="none" w:sz="0" w:space="0" w:color="auto"/>
        <w:bottom w:val="none" w:sz="0" w:space="0" w:color="auto"/>
        <w:right w:val="none" w:sz="0" w:space="0" w:color="auto"/>
      </w:divBdr>
      <w:divsChild>
        <w:div w:id="790321582">
          <w:marLeft w:val="0"/>
          <w:marRight w:val="0"/>
          <w:marTop w:val="0"/>
          <w:marBottom w:val="0"/>
          <w:divBdr>
            <w:top w:val="none" w:sz="0" w:space="0" w:color="auto"/>
            <w:left w:val="none" w:sz="0" w:space="0" w:color="auto"/>
            <w:bottom w:val="none" w:sz="0" w:space="0" w:color="auto"/>
            <w:right w:val="none" w:sz="0" w:space="0" w:color="auto"/>
          </w:divBdr>
          <w:divsChild>
            <w:div w:id="1113020326">
              <w:marLeft w:val="0"/>
              <w:marRight w:val="0"/>
              <w:marTop w:val="0"/>
              <w:marBottom w:val="0"/>
              <w:divBdr>
                <w:top w:val="none" w:sz="0" w:space="0" w:color="auto"/>
                <w:left w:val="none" w:sz="0" w:space="0" w:color="auto"/>
                <w:bottom w:val="none" w:sz="0" w:space="0" w:color="auto"/>
                <w:right w:val="none" w:sz="0" w:space="0" w:color="auto"/>
              </w:divBdr>
            </w:div>
          </w:divsChild>
        </w:div>
        <w:div w:id="1555967582">
          <w:marLeft w:val="0"/>
          <w:marRight w:val="0"/>
          <w:marTop w:val="0"/>
          <w:marBottom w:val="0"/>
          <w:divBdr>
            <w:top w:val="none" w:sz="0" w:space="0" w:color="auto"/>
            <w:left w:val="none" w:sz="0" w:space="0" w:color="auto"/>
            <w:bottom w:val="none" w:sz="0" w:space="0" w:color="auto"/>
            <w:right w:val="none" w:sz="0" w:space="0" w:color="auto"/>
          </w:divBdr>
          <w:divsChild>
            <w:div w:id="1599945420">
              <w:marLeft w:val="0"/>
              <w:marRight w:val="0"/>
              <w:marTop w:val="0"/>
              <w:marBottom w:val="0"/>
              <w:divBdr>
                <w:top w:val="none" w:sz="0" w:space="0" w:color="auto"/>
                <w:left w:val="none" w:sz="0" w:space="0" w:color="auto"/>
                <w:bottom w:val="none" w:sz="0" w:space="0" w:color="auto"/>
                <w:right w:val="none" w:sz="0" w:space="0" w:color="auto"/>
              </w:divBdr>
            </w:div>
          </w:divsChild>
        </w:div>
        <w:div w:id="1939485726">
          <w:marLeft w:val="0"/>
          <w:marRight w:val="0"/>
          <w:marTop w:val="0"/>
          <w:marBottom w:val="0"/>
          <w:divBdr>
            <w:top w:val="none" w:sz="0" w:space="0" w:color="auto"/>
            <w:left w:val="none" w:sz="0" w:space="0" w:color="auto"/>
            <w:bottom w:val="none" w:sz="0" w:space="0" w:color="auto"/>
            <w:right w:val="none" w:sz="0" w:space="0" w:color="auto"/>
          </w:divBdr>
        </w:div>
        <w:div w:id="1112748644">
          <w:marLeft w:val="0"/>
          <w:marRight w:val="0"/>
          <w:marTop w:val="0"/>
          <w:marBottom w:val="0"/>
          <w:divBdr>
            <w:top w:val="none" w:sz="0" w:space="0" w:color="auto"/>
            <w:left w:val="none" w:sz="0" w:space="0" w:color="auto"/>
            <w:bottom w:val="none" w:sz="0" w:space="0" w:color="auto"/>
            <w:right w:val="none" w:sz="0" w:space="0" w:color="auto"/>
          </w:divBdr>
          <w:divsChild>
            <w:div w:id="1716394949">
              <w:marLeft w:val="0"/>
              <w:marRight w:val="0"/>
              <w:marTop w:val="0"/>
              <w:marBottom w:val="0"/>
              <w:divBdr>
                <w:top w:val="none" w:sz="0" w:space="0" w:color="auto"/>
                <w:left w:val="none" w:sz="0" w:space="0" w:color="auto"/>
                <w:bottom w:val="none" w:sz="0" w:space="0" w:color="auto"/>
                <w:right w:val="none" w:sz="0" w:space="0" w:color="auto"/>
              </w:divBdr>
            </w:div>
          </w:divsChild>
        </w:div>
        <w:div w:id="273485151">
          <w:marLeft w:val="0"/>
          <w:marRight w:val="0"/>
          <w:marTop w:val="0"/>
          <w:marBottom w:val="0"/>
          <w:divBdr>
            <w:top w:val="none" w:sz="0" w:space="0" w:color="auto"/>
            <w:left w:val="none" w:sz="0" w:space="0" w:color="auto"/>
            <w:bottom w:val="none" w:sz="0" w:space="0" w:color="auto"/>
            <w:right w:val="none" w:sz="0" w:space="0" w:color="auto"/>
          </w:divBdr>
          <w:divsChild>
            <w:div w:id="46030161">
              <w:marLeft w:val="0"/>
              <w:marRight w:val="0"/>
              <w:marTop w:val="0"/>
              <w:marBottom w:val="0"/>
              <w:divBdr>
                <w:top w:val="none" w:sz="0" w:space="0" w:color="auto"/>
                <w:left w:val="none" w:sz="0" w:space="0" w:color="auto"/>
                <w:bottom w:val="none" w:sz="0" w:space="0" w:color="auto"/>
                <w:right w:val="none" w:sz="0" w:space="0" w:color="auto"/>
              </w:divBdr>
            </w:div>
          </w:divsChild>
        </w:div>
        <w:div w:id="996226508">
          <w:marLeft w:val="0"/>
          <w:marRight w:val="0"/>
          <w:marTop w:val="0"/>
          <w:marBottom w:val="0"/>
          <w:divBdr>
            <w:top w:val="none" w:sz="0" w:space="0" w:color="auto"/>
            <w:left w:val="none" w:sz="0" w:space="0" w:color="auto"/>
            <w:bottom w:val="none" w:sz="0" w:space="0" w:color="auto"/>
            <w:right w:val="none" w:sz="0" w:space="0" w:color="auto"/>
          </w:divBdr>
          <w:divsChild>
            <w:div w:id="150022006">
              <w:marLeft w:val="0"/>
              <w:marRight w:val="0"/>
              <w:marTop w:val="0"/>
              <w:marBottom w:val="0"/>
              <w:divBdr>
                <w:top w:val="none" w:sz="0" w:space="0" w:color="auto"/>
                <w:left w:val="none" w:sz="0" w:space="0" w:color="auto"/>
                <w:bottom w:val="none" w:sz="0" w:space="0" w:color="auto"/>
                <w:right w:val="none" w:sz="0" w:space="0" w:color="auto"/>
              </w:divBdr>
            </w:div>
          </w:divsChild>
        </w:div>
        <w:div w:id="83577022">
          <w:marLeft w:val="0"/>
          <w:marRight w:val="0"/>
          <w:marTop w:val="0"/>
          <w:marBottom w:val="0"/>
          <w:divBdr>
            <w:top w:val="none" w:sz="0" w:space="0" w:color="auto"/>
            <w:left w:val="none" w:sz="0" w:space="0" w:color="auto"/>
            <w:bottom w:val="none" w:sz="0" w:space="0" w:color="auto"/>
            <w:right w:val="none" w:sz="0" w:space="0" w:color="auto"/>
          </w:divBdr>
          <w:divsChild>
            <w:div w:id="1680110553">
              <w:marLeft w:val="0"/>
              <w:marRight w:val="0"/>
              <w:marTop w:val="0"/>
              <w:marBottom w:val="0"/>
              <w:divBdr>
                <w:top w:val="none" w:sz="0" w:space="0" w:color="auto"/>
                <w:left w:val="none" w:sz="0" w:space="0" w:color="auto"/>
                <w:bottom w:val="none" w:sz="0" w:space="0" w:color="auto"/>
                <w:right w:val="none" w:sz="0" w:space="0" w:color="auto"/>
              </w:divBdr>
            </w:div>
          </w:divsChild>
        </w:div>
        <w:div w:id="739668511">
          <w:marLeft w:val="0"/>
          <w:marRight w:val="0"/>
          <w:marTop w:val="0"/>
          <w:marBottom w:val="0"/>
          <w:divBdr>
            <w:top w:val="none" w:sz="0" w:space="0" w:color="auto"/>
            <w:left w:val="none" w:sz="0" w:space="0" w:color="auto"/>
            <w:bottom w:val="none" w:sz="0" w:space="0" w:color="auto"/>
            <w:right w:val="none" w:sz="0" w:space="0" w:color="auto"/>
          </w:divBdr>
          <w:divsChild>
            <w:div w:id="239826107">
              <w:marLeft w:val="0"/>
              <w:marRight w:val="0"/>
              <w:marTop w:val="0"/>
              <w:marBottom w:val="0"/>
              <w:divBdr>
                <w:top w:val="none" w:sz="0" w:space="0" w:color="auto"/>
                <w:left w:val="none" w:sz="0" w:space="0" w:color="auto"/>
                <w:bottom w:val="none" w:sz="0" w:space="0" w:color="auto"/>
                <w:right w:val="none" w:sz="0" w:space="0" w:color="auto"/>
              </w:divBdr>
            </w:div>
          </w:divsChild>
        </w:div>
        <w:div w:id="1798260805">
          <w:marLeft w:val="0"/>
          <w:marRight w:val="0"/>
          <w:marTop w:val="0"/>
          <w:marBottom w:val="0"/>
          <w:divBdr>
            <w:top w:val="none" w:sz="0" w:space="0" w:color="auto"/>
            <w:left w:val="none" w:sz="0" w:space="0" w:color="auto"/>
            <w:bottom w:val="none" w:sz="0" w:space="0" w:color="auto"/>
            <w:right w:val="none" w:sz="0" w:space="0" w:color="auto"/>
          </w:divBdr>
          <w:divsChild>
            <w:div w:id="342516985">
              <w:marLeft w:val="0"/>
              <w:marRight w:val="0"/>
              <w:marTop w:val="0"/>
              <w:marBottom w:val="0"/>
              <w:divBdr>
                <w:top w:val="none" w:sz="0" w:space="0" w:color="auto"/>
                <w:left w:val="none" w:sz="0" w:space="0" w:color="auto"/>
                <w:bottom w:val="none" w:sz="0" w:space="0" w:color="auto"/>
                <w:right w:val="none" w:sz="0" w:space="0" w:color="auto"/>
              </w:divBdr>
            </w:div>
          </w:divsChild>
        </w:div>
        <w:div w:id="1433743227">
          <w:marLeft w:val="0"/>
          <w:marRight w:val="0"/>
          <w:marTop w:val="0"/>
          <w:marBottom w:val="0"/>
          <w:divBdr>
            <w:top w:val="none" w:sz="0" w:space="0" w:color="auto"/>
            <w:left w:val="none" w:sz="0" w:space="0" w:color="auto"/>
            <w:bottom w:val="none" w:sz="0" w:space="0" w:color="auto"/>
            <w:right w:val="none" w:sz="0" w:space="0" w:color="auto"/>
          </w:divBdr>
          <w:divsChild>
            <w:div w:id="1500390361">
              <w:marLeft w:val="0"/>
              <w:marRight w:val="0"/>
              <w:marTop w:val="0"/>
              <w:marBottom w:val="0"/>
              <w:divBdr>
                <w:top w:val="none" w:sz="0" w:space="0" w:color="auto"/>
                <w:left w:val="none" w:sz="0" w:space="0" w:color="auto"/>
                <w:bottom w:val="none" w:sz="0" w:space="0" w:color="auto"/>
                <w:right w:val="none" w:sz="0" w:space="0" w:color="auto"/>
              </w:divBdr>
            </w:div>
          </w:divsChild>
        </w:div>
        <w:div w:id="242687043">
          <w:marLeft w:val="0"/>
          <w:marRight w:val="0"/>
          <w:marTop w:val="0"/>
          <w:marBottom w:val="0"/>
          <w:divBdr>
            <w:top w:val="none" w:sz="0" w:space="0" w:color="auto"/>
            <w:left w:val="none" w:sz="0" w:space="0" w:color="auto"/>
            <w:bottom w:val="none" w:sz="0" w:space="0" w:color="auto"/>
            <w:right w:val="none" w:sz="0" w:space="0" w:color="auto"/>
          </w:divBdr>
          <w:divsChild>
            <w:div w:id="86359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loydsbankfoundation.org.uk/funding/local-collaborations-programme" TargetMode="External"/><Relationship Id="rId3" Type="http://schemas.openxmlformats.org/officeDocument/2006/relationships/webSettings" Target="webSettings.xml"/><Relationship Id="rId7" Type="http://schemas.openxmlformats.org/officeDocument/2006/relationships/hyperlink" Target="https://www.bbcchildreninneed.co.uk/grants/apply/core-cost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bvsc.co.uk/funding" TargetMode="External"/><Relationship Id="rId10" Type="http://schemas.openxmlformats.org/officeDocument/2006/relationships/hyperlink" Target="https://www.londoncouncils.gov.uk/preview-link/node/11037/f25d24e3-bb41-4fe6-b90a-2e8cdd0b12db" TargetMode="External"/><Relationship Id="rId4" Type="http://schemas.openxmlformats.org/officeDocument/2006/relationships/image" Target="media/image1.png"/><Relationship Id="rId9" Type="http://schemas.openxmlformats.org/officeDocument/2006/relationships/hyperlink" Target="https://wcitcharity.org.uk/apply-for-a-gr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397</Words>
  <Characters>2264</Characters>
  <Application>Microsoft Office Word</Application>
  <DocSecurity>0</DocSecurity>
  <Lines>18</Lines>
  <Paragraphs>5</Paragraphs>
  <ScaleCrop>false</ScaleCrop>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Kesten</dc:creator>
  <cp:keywords/>
  <dc:description/>
  <cp:lastModifiedBy>Jamie Kesten</cp:lastModifiedBy>
  <cp:revision>1</cp:revision>
  <dcterms:created xsi:type="dcterms:W3CDTF">2025-04-24T10:57:00Z</dcterms:created>
  <dcterms:modified xsi:type="dcterms:W3CDTF">2025-04-24T10:58:00Z</dcterms:modified>
</cp:coreProperties>
</file>