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698B70FA"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18321BDD"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0875EA9C" w14:textId="77777777">
                    <w:trPr>
                      <w:jc w:val="center"/>
                    </w:trPr>
                    <w:tc>
                      <w:tcPr>
                        <w:tcW w:w="5000" w:type="pct"/>
                        <w:shd w:val="clear" w:color="auto" w:fill="FFFFFF"/>
                        <w:hideMark/>
                      </w:tcPr>
                      <w:p w14:paraId="24B9D6E6" w14:textId="1A6C7E53" w:rsidR="00FD6AE5" w:rsidRPr="00FD6AE5" w:rsidRDefault="00FD6AE5" w:rsidP="00FD6AE5">
                        <w:r w:rsidRPr="00FD6AE5">
                          <w:drawing>
                            <wp:inline distT="0" distB="0" distL="0" distR="0" wp14:anchorId="568FD9A6" wp14:editId="03F67DA0">
                              <wp:extent cx="5425440" cy="1965960"/>
                              <wp:effectExtent l="0" t="0" r="3810" b="0"/>
                              <wp:docPr id="291929215" name="Picture 4" descr="A purple background with a building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9215" name="Picture 4" descr="A purple background with a building and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440" cy="1965960"/>
                                      </a:xfrm>
                                      <a:prstGeom prst="rect">
                                        <a:avLst/>
                                      </a:prstGeom>
                                      <a:noFill/>
                                      <a:ln>
                                        <a:noFill/>
                                      </a:ln>
                                    </pic:spPr>
                                  </pic:pic>
                                </a:graphicData>
                              </a:graphic>
                            </wp:inline>
                          </w:drawing>
                        </w:r>
                      </w:p>
                    </w:tc>
                  </w:tr>
                </w:tbl>
                <w:p w14:paraId="2EB606DD" w14:textId="77777777" w:rsidR="00FD6AE5" w:rsidRPr="00FD6AE5" w:rsidRDefault="00FD6AE5" w:rsidP="00FD6AE5"/>
              </w:tc>
            </w:tr>
          </w:tbl>
          <w:p w14:paraId="55639D03" w14:textId="77777777" w:rsidR="00FD6AE5" w:rsidRPr="00FD6AE5" w:rsidRDefault="00FD6AE5" w:rsidP="00FD6AE5"/>
        </w:tc>
      </w:tr>
    </w:tbl>
    <w:p w14:paraId="257A0E73"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37FB79D0"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2AA4DE88"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46D703A6"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55D25F69" w14:textId="77777777">
                          <w:trPr>
                            <w:tblCellSpacing w:w="0" w:type="dxa"/>
                            <w:jc w:val="center"/>
                          </w:trPr>
                          <w:tc>
                            <w:tcPr>
                              <w:tcW w:w="4140" w:type="dxa"/>
                              <w:tcMar>
                                <w:top w:w="22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62CEF272" w14:textId="77777777">
                                <w:tc>
                                  <w:tcPr>
                                    <w:tcW w:w="5000" w:type="pct"/>
                                    <w:tcMar>
                                      <w:top w:w="75" w:type="dxa"/>
                                      <w:left w:w="30" w:type="dxa"/>
                                      <w:bottom w:w="75" w:type="dxa"/>
                                      <w:right w:w="30" w:type="dxa"/>
                                    </w:tcMar>
                                    <w:hideMark/>
                                  </w:tcPr>
                                  <w:p w14:paraId="56890D45" w14:textId="77777777" w:rsidR="00FD6AE5" w:rsidRPr="00FD6AE5" w:rsidRDefault="00FD6AE5" w:rsidP="00FD6AE5">
                                    <w:r w:rsidRPr="00FD6AE5">
                                      <w:rPr>
                                        <w:b/>
                                        <w:bCs/>
                                      </w:rPr>
                                      <w:t>Help The Homeless Grant Scheme</w:t>
                                    </w:r>
                                  </w:p>
                                </w:tc>
                              </w:tr>
                              <w:tr w:rsidR="00FD6AE5" w:rsidRPr="00FD6AE5" w14:paraId="546DA391" w14:textId="77777777">
                                <w:tc>
                                  <w:tcPr>
                                    <w:tcW w:w="5000" w:type="pct"/>
                                    <w:tcMar>
                                      <w:top w:w="75" w:type="dxa"/>
                                      <w:left w:w="30" w:type="dxa"/>
                                      <w:bottom w:w="75" w:type="dxa"/>
                                      <w:right w:w="30" w:type="dxa"/>
                                    </w:tcMar>
                                    <w:hideMark/>
                                  </w:tcPr>
                                  <w:p w14:paraId="3837EC36" w14:textId="77777777" w:rsidR="00FD6AE5" w:rsidRPr="00FD6AE5" w:rsidRDefault="00FD6AE5" w:rsidP="00FD6AE5">
                                    <w:r w:rsidRPr="00FD6AE5">
                                      <w:t xml:space="preserve">Funding is available for small charities </w:t>
                                    </w:r>
                                    <w:r w:rsidRPr="00FD6AE5">
                                      <w:br/>
                                      <w:t xml:space="preserve">with an annual turnover of less than £500,000. </w:t>
                                    </w:r>
                                    <w:r w:rsidRPr="00FD6AE5">
                                      <w:br/>
                                      <w:t xml:space="preserve">Funding is only open to support charities who are working wholly or mostly with homeless people </w:t>
                                    </w:r>
                                    <w:r w:rsidRPr="00FD6AE5">
                                      <w:br/>
                                      <w:t xml:space="preserve">not for community work, foodbanks or projects </w:t>
                                    </w:r>
                                    <w:r w:rsidRPr="00FD6AE5">
                                      <w:br/>
                                      <w:t>that are not focused on homelessness. </w:t>
                                    </w:r>
                                    <w:r w:rsidRPr="00FD6AE5">
                                      <w:rPr>
                                        <w:b/>
                                        <w:bCs/>
                                      </w:rPr>
                                      <w:br/>
                                    </w:r>
                                    <w:r w:rsidRPr="00FD6AE5">
                                      <w:rPr>
                                        <w:b/>
                                        <w:bCs/>
                                      </w:rPr>
                                      <w:br/>
                                      <w:t>Deadline: 20th December 2025.</w:t>
                                    </w:r>
                                  </w:p>
                                </w:tc>
                              </w:tr>
                              <w:tr w:rsidR="00FD6AE5" w:rsidRPr="00FD6AE5" w14:paraId="24D9F183"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6FFD852B" w14:textId="77777777">
                                      <w:trPr>
                                        <w:tblCellSpacing w:w="0" w:type="dxa"/>
                                      </w:trPr>
                                      <w:tc>
                                        <w:tcPr>
                                          <w:tcW w:w="0" w:type="auto"/>
                                          <w:shd w:val="clear" w:color="auto" w:fill="B2A2C7"/>
                                          <w:vAlign w:val="center"/>
                                          <w:hideMark/>
                                        </w:tcPr>
                                        <w:p w14:paraId="0D28C440" w14:textId="77777777" w:rsidR="00FD6AE5" w:rsidRPr="00FD6AE5" w:rsidRDefault="00FD6AE5" w:rsidP="00FD6AE5">
                                          <w:hyperlink r:id="rId6" w:tgtFrame="_new" w:history="1">
                                            <w:r w:rsidRPr="00FD6AE5">
                                              <w:rPr>
                                                <w:rStyle w:val="Hyperlink"/>
                                                <w:b/>
                                                <w:bCs/>
                                              </w:rPr>
                                              <w:t>More Information</w:t>
                                            </w:r>
                                          </w:hyperlink>
                                        </w:p>
                                      </w:tc>
                                    </w:tr>
                                  </w:tbl>
                                  <w:p w14:paraId="6BEAAC1E" w14:textId="77777777" w:rsidR="00FD6AE5" w:rsidRPr="00FD6AE5" w:rsidRDefault="00FD6AE5" w:rsidP="00FD6AE5"/>
                                </w:tc>
                              </w:tr>
                            </w:tbl>
                            <w:p w14:paraId="5812F6BF" w14:textId="77777777" w:rsidR="00FD6AE5" w:rsidRPr="00FD6AE5" w:rsidRDefault="00FD6AE5" w:rsidP="00FD6AE5"/>
                          </w:tc>
                          <w:tc>
                            <w:tcPr>
                              <w:tcW w:w="4140" w:type="dxa"/>
                              <w:tcMar>
                                <w:top w:w="22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5127C30B" w14:textId="77777777">
                                <w:tc>
                                  <w:tcPr>
                                    <w:tcW w:w="5000" w:type="pct"/>
                                    <w:tcMar>
                                      <w:top w:w="75" w:type="dxa"/>
                                      <w:left w:w="30" w:type="dxa"/>
                                      <w:bottom w:w="75" w:type="dxa"/>
                                      <w:right w:w="30" w:type="dxa"/>
                                    </w:tcMar>
                                    <w:hideMark/>
                                  </w:tcPr>
                                  <w:p w14:paraId="6A90D427" w14:textId="77777777" w:rsidR="00FD6AE5" w:rsidRPr="00FD6AE5" w:rsidRDefault="00FD6AE5" w:rsidP="00FD6AE5">
                                    <w:r w:rsidRPr="00FD6AE5">
                                      <w:rPr>
                                        <w:b/>
                                        <w:bCs/>
                                      </w:rPr>
                                      <w:t>The Adamson Trust</w:t>
                                    </w:r>
                                  </w:p>
                                </w:tc>
                              </w:tr>
                              <w:tr w:rsidR="00FD6AE5" w:rsidRPr="00FD6AE5" w14:paraId="28BBE76C" w14:textId="77777777">
                                <w:tc>
                                  <w:tcPr>
                                    <w:tcW w:w="5000" w:type="pct"/>
                                    <w:tcMar>
                                      <w:top w:w="75" w:type="dxa"/>
                                      <w:left w:w="30" w:type="dxa"/>
                                      <w:bottom w:w="75" w:type="dxa"/>
                                      <w:right w:w="30" w:type="dxa"/>
                                    </w:tcMar>
                                    <w:hideMark/>
                                  </w:tcPr>
                                  <w:p w14:paraId="7D7265E4" w14:textId="77777777" w:rsidR="00FD6AE5" w:rsidRPr="00FD6AE5" w:rsidRDefault="00FD6AE5" w:rsidP="00FD6AE5">
                                    <w:r w:rsidRPr="00FD6AE5">
                                      <w:t xml:space="preserve"> Funding is available for families, organisations   and registered charities who support children   aged between 3 and 17 with a physical, mental or   emotional impairment. </w:t>
                                    </w:r>
                                    <w:r w:rsidRPr="00FD6AE5">
                                      <w:br/>
                                    </w:r>
                                    <w:r w:rsidRPr="00FD6AE5">
                                      <w:br/>
                                      <w:t> This funding is help with the cost of respite or   holidays. </w:t>
                                    </w:r>
                                    <w:r w:rsidRPr="00FD6AE5">
                                      <w:rPr>
                                        <w:b/>
                                        <w:bCs/>
                                      </w:rPr>
                                      <w:br/>
                                    </w:r>
                                    <w:r w:rsidRPr="00FD6AE5">
                                      <w:rPr>
                                        <w:b/>
                                        <w:bCs/>
                                      </w:rPr>
                                      <w:br/>
                                      <w:t> Deadline: 31st December 2025.</w:t>
                                    </w:r>
                                  </w:p>
                                </w:tc>
                              </w:tr>
                              <w:tr w:rsidR="00FD6AE5" w:rsidRPr="00FD6AE5" w14:paraId="2F065985"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4E8FF668" w14:textId="77777777">
                                      <w:trPr>
                                        <w:tblCellSpacing w:w="0" w:type="dxa"/>
                                      </w:trPr>
                                      <w:tc>
                                        <w:tcPr>
                                          <w:tcW w:w="0" w:type="auto"/>
                                          <w:shd w:val="clear" w:color="auto" w:fill="B2A2C7"/>
                                          <w:vAlign w:val="center"/>
                                          <w:hideMark/>
                                        </w:tcPr>
                                        <w:p w14:paraId="4BA9DCFF" w14:textId="77777777" w:rsidR="00FD6AE5" w:rsidRPr="00FD6AE5" w:rsidRDefault="00FD6AE5" w:rsidP="00FD6AE5">
                                          <w:hyperlink r:id="rId7" w:tgtFrame="_new" w:history="1">
                                            <w:r w:rsidRPr="00FD6AE5">
                                              <w:rPr>
                                                <w:rStyle w:val="Hyperlink"/>
                                                <w:b/>
                                                <w:bCs/>
                                              </w:rPr>
                                              <w:t>More Information</w:t>
                                            </w:r>
                                          </w:hyperlink>
                                        </w:p>
                                      </w:tc>
                                    </w:tr>
                                  </w:tbl>
                                  <w:p w14:paraId="03ECD079" w14:textId="77777777" w:rsidR="00FD6AE5" w:rsidRPr="00FD6AE5" w:rsidRDefault="00FD6AE5" w:rsidP="00FD6AE5"/>
                                </w:tc>
                              </w:tr>
                            </w:tbl>
                            <w:p w14:paraId="21A51990" w14:textId="77777777" w:rsidR="00FD6AE5" w:rsidRPr="00FD6AE5" w:rsidRDefault="00FD6AE5" w:rsidP="00FD6AE5"/>
                          </w:tc>
                        </w:tr>
                      </w:tbl>
                      <w:p w14:paraId="02A31E88" w14:textId="77777777" w:rsidR="00FD6AE5" w:rsidRPr="00FD6AE5" w:rsidRDefault="00FD6AE5" w:rsidP="00FD6AE5"/>
                    </w:tc>
                  </w:tr>
                </w:tbl>
                <w:p w14:paraId="41B3D2A5" w14:textId="77777777" w:rsidR="00FD6AE5" w:rsidRPr="00FD6AE5" w:rsidRDefault="00FD6AE5" w:rsidP="00FD6AE5"/>
              </w:tc>
            </w:tr>
          </w:tbl>
          <w:p w14:paraId="11F9D20A" w14:textId="77777777" w:rsidR="00FD6AE5" w:rsidRPr="00FD6AE5" w:rsidRDefault="00FD6AE5" w:rsidP="00FD6AE5"/>
        </w:tc>
      </w:tr>
    </w:tbl>
    <w:p w14:paraId="457CF289"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2FF77AD5"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15FB62F0"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408B0962"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3602E3B3" w14:textId="77777777">
                          <w:trPr>
                            <w:tblCellSpacing w:w="0" w:type="dxa"/>
                            <w:jc w:val="center"/>
                          </w:trPr>
                          <w:tc>
                            <w:tcPr>
                              <w:tcW w:w="4140" w:type="dxa"/>
                              <w:tcMar>
                                <w:top w:w="10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44CAC43A" w14:textId="77777777">
                                <w:tc>
                                  <w:tcPr>
                                    <w:tcW w:w="5000" w:type="pct"/>
                                    <w:tcMar>
                                      <w:top w:w="75" w:type="dxa"/>
                                      <w:left w:w="30" w:type="dxa"/>
                                      <w:bottom w:w="75" w:type="dxa"/>
                                      <w:right w:w="30" w:type="dxa"/>
                                    </w:tcMar>
                                    <w:hideMark/>
                                  </w:tcPr>
                                  <w:p w14:paraId="657140AB" w14:textId="77777777" w:rsidR="00FD6AE5" w:rsidRPr="00FD6AE5" w:rsidRDefault="00FD6AE5" w:rsidP="00FD6AE5">
                                    <w:r w:rsidRPr="00FD6AE5">
                                      <w:rPr>
                                        <w:b/>
                                        <w:bCs/>
                                      </w:rPr>
                                      <w:t>Lionesses Here to Play Fund</w:t>
                                    </w:r>
                                  </w:p>
                                </w:tc>
                              </w:tr>
                              <w:tr w:rsidR="00FD6AE5" w:rsidRPr="00FD6AE5" w14:paraId="1483D80C" w14:textId="77777777">
                                <w:tc>
                                  <w:tcPr>
                                    <w:tcW w:w="5000" w:type="pct"/>
                                    <w:tcMar>
                                      <w:top w:w="75" w:type="dxa"/>
                                      <w:left w:w="30" w:type="dxa"/>
                                      <w:bottom w:w="75" w:type="dxa"/>
                                      <w:right w:w="30" w:type="dxa"/>
                                    </w:tcMar>
                                    <w:hideMark/>
                                  </w:tcPr>
                                  <w:p w14:paraId="31D6B253" w14:textId="77777777" w:rsidR="00FD6AE5" w:rsidRPr="00FD6AE5" w:rsidRDefault="00FD6AE5" w:rsidP="00FD6AE5">
                                    <w:r w:rsidRPr="00FD6AE5">
                                      <w:t xml:space="preserve">Funding of up to £25,000 is available for grassroots organisations to improve </w:t>
                                    </w:r>
                                    <w:r w:rsidRPr="00FD6AE5">
                                      <w:br/>
                                      <w:t xml:space="preserve">football facilities, making them more inclusive safe </w:t>
                                    </w:r>
                                    <w:r w:rsidRPr="00FD6AE5">
                                      <w:br/>
                                      <w:t>and welcoming for women and girls. </w:t>
                                    </w:r>
                                    <w:r w:rsidRPr="00FD6AE5">
                                      <w:br/>
                                      <w:t>When applying, please clearly outline how the proposed improvements will benefit women and girls, and how your site will maintain and build on these enhancements in the future.</w:t>
                                    </w:r>
                                    <w:r w:rsidRPr="00FD6AE5">
                                      <w:br/>
                                    </w:r>
                                    <w:r w:rsidRPr="00FD6AE5">
                                      <w:br/>
                                    </w:r>
                                    <w:r w:rsidRPr="00FD6AE5">
                                      <w:rPr>
                                        <w:b/>
                                        <w:bCs/>
                                      </w:rPr>
                                      <w:t>No deadline. </w:t>
                                    </w:r>
                                  </w:p>
                                </w:tc>
                              </w:tr>
                              <w:tr w:rsidR="00FD6AE5" w:rsidRPr="00FD6AE5" w14:paraId="1D9FE66F"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307B5C16" w14:textId="77777777">
                                      <w:trPr>
                                        <w:tblCellSpacing w:w="0" w:type="dxa"/>
                                      </w:trPr>
                                      <w:tc>
                                        <w:tcPr>
                                          <w:tcW w:w="0" w:type="auto"/>
                                          <w:shd w:val="clear" w:color="auto" w:fill="B2A2C7"/>
                                          <w:vAlign w:val="center"/>
                                          <w:hideMark/>
                                        </w:tcPr>
                                        <w:p w14:paraId="2103F930" w14:textId="77777777" w:rsidR="00FD6AE5" w:rsidRPr="00FD6AE5" w:rsidRDefault="00FD6AE5" w:rsidP="00FD6AE5">
                                          <w:hyperlink r:id="rId8" w:tgtFrame="_new" w:history="1">
                                            <w:r w:rsidRPr="00FD6AE5">
                                              <w:rPr>
                                                <w:rStyle w:val="Hyperlink"/>
                                                <w:b/>
                                                <w:bCs/>
                                              </w:rPr>
                                              <w:t>More Information</w:t>
                                            </w:r>
                                          </w:hyperlink>
                                        </w:p>
                                      </w:tc>
                                    </w:tr>
                                  </w:tbl>
                                  <w:p w14:paraId="078893EF" w14:textId="77777777" w:rsidR="00FD6AE5" w:rsidRPr="00FD6AE5" w:rsidRDefault="00FD6AE5" w:rsidP="00FD6AE5"/>
                                </w:tc>
                              </w:tr>
                            </w:tbl>
                            <w:p w14:paraId="1A57E30E" w14:textId="77777777" w:rsidR="00FD6AE5" w:rsidRPr="00FD6AE5" w:rsidRDefault="00FD6AE5" w:rsidP="00FD6AE5"/>
                          </w:tc>
                          <w:tc>
                            <w:tcPr>
                              <w:tcW w:w="4140" w:type="dxa"/>
                              <w:tcMar>
                                <w:top w:w="10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10379EED" w14:textId="77777777">
                                <w:tc>
                                  <w:tcPr>
                                    <w:tcW w:w="5000" w:type="pct"/>
                                    <w:tcMar>
                                      <w:top w:w="75" w:type="dxa"/>
                                      <w:left w:w="30" w:type="dxa"/>
                                      <w:bottom w:w="75" w:type="dxa"/>
                                      <w:right w:w="30" w:type="dxa"/>
                                    </w:tcMar>
                                    <w:hideMark/>
                                  </w:tcPr>
                                  <w:p w14:paraId="38AE4270" w14:textId="77777777" w:rsidR="00FD6AE5" w:rsidRPr="00FD6AE5" w:rsidRDefault="00FD6AE5" w:rsidP="00FD6AE5">
                                    <w:r w:rsidRPr="00FD6AE5">
                                      <w:rPr>
                                        <w:b/>
                                        <w:bCs/>
                                      </w:rPr>
                                      <w:t>The Solidarity Fund</w:t>
                                    </w:r>
                                  </w:p>
                                </w:tc>
                              </w:tr>
                              <w:tr w:rsidR="00FD6AE5" w:rsidRPr="00FD6AE5" w14:paraId="5A5BC8B9" w14:textId="77777777">
                                <w:tc>
                                  <w:tcPr>
                                    <w:tcW w:w="5000" w:type="pct"/>
                                    <w:tcMar>
                                      <w:top w:w="75" w:type="dxa"/>
                                      <w:left w:w="30" w:type="dxa"/>
                                      <w:bottom w:w="75" w:type="dxa"/>
                                      <w:right w:w="30" w:type="dxa"/>
                                    </w:tcMar>
                                    <w:hideMark/>
                                  </w:tcPr>
                                  <w:p w14:paraId="40D8B494" w14:textId="77777777" w:rsidR="00FD6AE5" w:rsidRPr="00FD6AE5" w:rsidRDefault="00FD6AE5" w:rsidP="00FD6AE5">
                                    <w:r w:rsidRPr="00FD6AE5">
                                      <w:rPr>
                                        <w:b/>
                                        <w:bCs/>
                                      </w:rPr>
                                      <w:t> </w:t>
                                    </w:r>
                                    <w:r w:rsidRPr="00FD6AE5">
                                      <w:t xml:space="preserve">This funding is for organisations in England that     are </w:t>
                                    </w:r>
                                    <w:proofErr w:type="gramStart"/>
                                    <w:r w:rsidRPr="00FD6AE5">
                                      <w:t>taking action</w:t>
                                    </w:r>
                                    <w:proofErr w:type="gramEnd"/>
                                    <w:r w:rsidRPr="00FD6AE5">
                                      <w:t xml:space="preserve"> on the root causes of                     inequality, such as poverty, disadvantage and         discrimination.</w:t>
                                    </w:r>
                                    <w:r w:rsidRPr="00FD6AE5">
                                      <w:br/>
                                      <w:t> </w:t>
                                    </w:r>
                                    <w:r w:rsidRPr="00FD6AE5">
                                      <w:br/>
                                      <w:t> The National Lottery Community want to support     and strengthen work that aims to create lasting       change, led or shaped by people with lived             experience. </w:t>
                                    </w:r>
                                  </w:p>
                                  <w:p w14:paraId="54945A5F" w14:textId="77777777" w:rsidR="00FD6AE5" w:rsidRPr="00FD6AE5" w:rsidRDefault="00FD6AE5" w:rsidP="00FD6AE5">
                                    <w:r w:rsidRPr="00FD6AE5">
                                      <w:rPr>
                                        <w:b/>
                                        <w:bCs/>
                                      </w:rPr>
                                      <w:t> No deadline. </w:t>
                                    </w:r>
                                  </w:p>
                                </w:tc>
                              </w:tr>
                              <w:tr w:rsidR="00FD6AE5" w:rsidRPr="00FD6AE5" w14:paraId="1C434B19"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6F555EFD" w14:textId="77777777">
                                      <w:trPr>
                                        <w:tblCellSpacing w:w="0" w:type="dxa"/>
                                      </w:trPr>
                                      <w:tc>
                                        <w:tcPr>
                                          <w:tcW w:w="0" w:type="auto"/>
                                          <w:shd w:val="clear" w:color="auto" w:fill="B2A2C7"/>
                                          <w:vAlign w:val="center"/>
                                          <w:hideMark/>
                                        </w:tcPr>
                                        <w:p w14:paraId="0E3055B9" w14:textId="77777777" w:rsidR="00FD6AE5" w:rsidRPr="00FD6AE5" w:rsidRDefault="00FD6AE5" w:rsidP="00FD6AE5">
                                          <w:hyperlink r:id="rId9" w:tgtFrame="_new" w:history="1">
                                            <w:r w:rsidRPr="00FD6AE5">
                                              <w:rPr>
                                                <w:rStyle w:val="Hyperlink"/>
                                                <w:b/>
                                                <w:bCs/>
                                              </w:rPr>
                                              <w:t>More Information</w:t>
                                            </w:r>
                                          </w:hyperlink>
                                        </w:p>
                                      </w:tc>
                                    </w:tr>
                                  </w:tbl>
                                  <w:p w14:paraId="392A065F" w14:textId="77777777" w:rsidR="00FD6AE5" w:rsidRPr="00FD6AE5" w:rsidRDefault="00FD6AE5" w:rsidP="00FD6AE5"/>
                                </w:tc>
                              </w:tr>
                            </w:tbl>
                            <w:p w14:paraId="5CA4B6BA" w14:textId="77777777" w:rsidR="00FD6AE5" w:rsidRPr="00FD6AE5" w:rsidRDefault="00FD6AE5" w:rsidP="00FD6AE5"/>
                          </w:tc>
                        </w:tr>
                      </w:tbl>
                      <w:p w14:paraId="27E6139C" w14:textId="77777777" w:rsidR="00FD6AE5" w:rsidRPr="00FD6AE5" w:rsidRDefault="00FD6AE5" w:rsidP="00FD6AE5"/>
                    </w:tc>
                  </w:tr>
                </w:tbl>
                <w:p w14:paraId="30F3D9E8" w14:textId="77777777" w:rsidR="00FD6AE5" w:rsidRPr="00FD6AE5" w:rsidRDefault="00FD6AE5" w:rsidP="00FD6AE5"/>
              </w:tc>
            </w:tr>
          </w:tbl>
          <w:p w14:paraId="680F59DE" w14:textId="77777777" w:rsidR="00FD6AE5" w:rsidRPr="00FD6AE5" w:rsidRDefault="00FD6AE5" w:rsidP="00FD6AE5"/>
        </w:tc>
      </w:tr>
    </w:tbl>
    <w:p w14:paraId="44300768"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44ACAE57"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7689FEB0"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6DA2D6B9"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053AA67F" w14:textId="77777777">
                          <w:trPr>
                            <w:tblCellSpacing w:w="0" w:type="dxa"/>
                            <w:jc w:val="center"/>
                          </w:trPr>
                          <w:tc>
                            <w:tcPr>
                              <w:tcW w:w="4140" w:type="dxa"/>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6779D8E9" w14:textId="77777777">
                                <w:tc>
                                  <w:tcPr>
                                    <w:tcW w:w="5000" w:type="pct"/>
                                    <w:tcMar>
                                      <w:top w:w="75" w:type="dxa"/>
                                      <w:left w:w="30" w:type="dxa"/>
                                      <w:bottom w:w="75" w:type="dxa"/>
                                      <w:right w:w="30" w:type="dxa"/>
                                    </w:tcMar>
                                    <w:hideMark/>
                                  </w:tcPr>
                                  <w:p w14:paraId="01990C4F" w14:textId="77777777" w:rsidR="00FD6AE5" w:rsidRPr="00FD6AE5" w:rsidRDefault="00FD6AE5" w:rsidP="00FD6AE5">
                                    <w:r w:rsidRPr="00FD6AE5">
                                      <w:rPr>
                                        <w:b/>
                                        <w:bCs/>
                                      </w:rPr>
                                      <w:lastRenderedPageBreak/>
                                      <w:t>Common Ground Award</w:t>
                                    </w:r>
                                  </w:p>
                                </w:tc>
                              </w:tr>
                              <w:tr w:rsidR="00FD6AE5" w:rsidRPr="00FD6AE5" w14:paraId="715D5405" w14:textId="77777777">
                                <w:tc>
                                  <w:tcPr>
                                    <w:tcW w:w="5000" w:type="pct"/>
                                    <w:tcMar>
                                      <w:top w:w="75" w:type="dxa"/>
                                      <w:left w:w="30" w:type="dxa"/>
                                      <w:bottom w:w="75" w:type="dxa"/>
                                      <w:right w:w="30" w:type="dxa"/>
                                    </w:tcMar>
                                    <w:hideMark/>
                                  </w:tcPr>
                                  <w:p w14:paraId="488354E9" w14:textId="77777777" w:rsidR="00FD6AE5" w:rsidRPr="00FD6AE5" w:rsidRDefault="00FD6AE5" w:rsidP="00FD6AE5">
                                    <w:r w:rsidRPr="00FD6AE5">
                                      <w:t xml:space="preserve">The Common Ground Resilience Fund </w:t>
                                    </w:r>
                                    <w:r w:rsidRPr="00FD6AE5">
                                      <w:br/>
                                      <w:t xml:space="preserve">was launched in September to support </w:t>
                                    </w:r>
                                    <w:r w:rsidRPr="00FD6AE5">
                                      <w:br/>
                                      <w:t>local places, and a key part of this is promoting the important role of the voluntary, community and social enterprise (VCSE) sector.</w:t>
                                    </w:r>
                                    <w:r w:rsidRPr="00FD6AE5">
                                      <w:br/>
                                    </w:r>
                                    <w:r w:rsidRPr="00FD6AE5">
                                      <w:br/>
                                      <w:t xml:space="preserve">The UK government’s Common Ground Award will invest up to £1.7 million capital funding into VCSE sector organisations </w:t>
                                    </w:r>
                                    <w:r w:rsidRPr="00FD6AE5">
                                      <w:br/>
                                      <w:t xml:space="preserve">that are bringing people together from different backgrounds, supporting the cost of constructing or renovating facilities, or the purchasing of equipment </w:t>
                                    </w:r>
                                    <w:r w:rsidRPr="00FD6AE5">
                                      <w:br/>
                                      <w:t>to deliver services.</w:t>
                                    </w:r>
                                    <w:r w:rsidRPr="00FD6AE5">
                                      <w:br/>
                                    </w:r>
                                    <w:r w:rsidRPr="00FD6AE5">
                                      <w:br/>
                                    </w:r>
                                    <w:r w:rsidRPr="00FD6AE5">
                                      <w:rPr>
                                        <w:b/>
                                        <w:bCs/>
                                      </w:rPr>
                                      <w:t>Deadline: 21st November 2025.</w:t>
                                    </w:r>
                                  </w:p>
                                </w:tc>
                              </w:tr>
                              <w:tr w:rsidR="00FD6AE5" w:rsidRPr="00FD6AE5" w14:paraId="1FE7EEC3"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0D75B566" w14:textId="77777777">
                                      <w:trPr>
                                        <w:tblCellSpacing w:w="0" w:type="dxa"/>
                                      </w:trPr>
                                      <w:tc>
                                        <w:tcPr>
                                          <w:tcW w:w="0" w:type="auto"/>
                                          <w:shd w:val="clear" w:color="auto" w:fill="B2A2C7"/>
                                          <w:vAlign w:val="center"/>
                                          <w:hideMark/>
                                        </w:tcPr>
                                        <w:p w14:paraId="246D3ACE" w14:textId="77777777" w:rsidR="00FD6AE5" w:rsidRPr="00FD6AE5" w:rsidRDefault="00FD6AE5" w:rsidP="00FD6AE5">
                                          <w:hyperlink r:id="rId10" w:tgtFrame="_new" w:history="1">
                                            <w:r w:rsidRPr="00FD6AE5">
                                              <w:rPr>
                                                <w:rStyle w:val="Hyperlink"/>
                                                <w:b/>
                                                <w:bCs/>
                                              </w:rPr>
                                              <w:t>More Information</w:t>
                                            </w:r>
                                          </w:hyperlink>
                                        </w:p>
                                      </w:tc>
                                    </w:tr>
                                  </w:tbl>
                                  <w:p w14:paraId="77BCC53F" w14:textId="77777777" w:rsidR="00FD6AE5" w:rsidRPr="00FD6AE5" w:rsidRDefault="00FD6AE5" w:rsidP="00FD6AE5"/>
                                </w:tc>
                              </w:tr>
                            </w:tbl>
                            <w:p w14:paraId="1FBF5F78" w14:textId="77777777" w:rsidR="00FD6AE5" w:rsidRPr="00FD6AE5" w:rsidRDefault="00FD6AE5" w:rsidP="00FD6AE5"/>
                          </w:tc>
                          <w:tc>
                            <w:tcPr>
                              <w:tcW w:w="4140" w:type="dxa"/>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1FA9D3A1" w14:textId="77777777">
                                <w:tc>
                                  <w:tcPr>
                                    <w:tcW w:w="5000" w:type="pct"/>
                                    <w:tcMar>
                                      <w:top w:w="75" w:type="dxa"/>
                                      <w:left w:w="30" w:type="dxa"/>
                                      <w:bottom w:w="75" w:type="dxa"/>
                                      <w:right w:w="30" w:type="dxa"/>
                                    </w:tcMar>
                                    <w:hideMark/>
                                  </w:tcPr>
                                  <w:p w14:paraId="0BBE5404" w14:textId="77777777" w:rsidR="00FD6AE5" w:rsidRPr="00FD6AE5" w:rsidRDefault="00FD6AE5" w:rsidP="00FD6AE5">
                                    <w:r w:rsidRPr="00FD6AE5">
                                      <w:rPr>
                                        <w:b/>
                                        <w:bCs/>
                                      </w:rPr>
                                      <w:t>Migrant Justice, Greater London</w:t>
                                    </w:r>
                                  </w:p>
                                </w:tc>
                              </w:tr>
                              <w:tr w:rsidR="00FD6AE5" w:rsidRPr="00FD6AE5" w14:paraId="1AE231CF" w14:textId="77777777">
                                <w:tc>
                                  <w:tcPr>
                                    <w:tcW w:w="5000" w:type="pct"/>
                                    <w:tcMar>
                                      <w:top w:w="75" w:type="dxa"/>
                                      <w:left w:w="30" w:type="dxa"/>
                                      <w:bottom w:w="75" w:type="dxa"/>
                                      <w:right w:w="30" w:type="dxa"/>
                                    </w:tcMar>
                                    <w:hideMark/>
                                  </w:tcPr>
                                  <w:p w14:paraId="5128877A" w14:textId="77777777" w:rsidR="00FD6AE5" w:rsidRPr="00FD6AE5" w:rsidRDefault="00FD6AE5" w:rsidP="00FD6AE5">
                                    <w:r w:rsidRPr="00FD6AE5">
                                      <w:t> Refugee Action has partnered with the Greater       London Authority to support up to six                 organisations who are looking to initiate or grow     their immigration advice and/or support capacity. </w:t>
                                    </w:r>
                                    <w:r w:rsidRPr="00FD6AE5">
                                      <w:br/>
                                    </w:r>
                                    <w:r w:rsidRPr="00FD6AE5">
                                      <w:br/>
                                      <w:t xml:space="preserve"> This funding is to support </w:t>
                                    </w:r>
                                    <w:proofErr w:type="gramStart"/>
                                    <w:r w:rsidRPr="00FD6AE5">
                                      <w:t>with  engagement</w:t>
                                    </w:r>
                                    <w:proofErr w:type="gramEnd"/>
                                    <w:r w:rsidRPr="00FD6AE5">
                                      <w:t xml:space="preserve"> and     capacity building costs, including staff time and       the maintenance of service provision whilst             taking part in the project (including Immigration       Advice Authority (IAA, formerly OISC) training         and exam period, if relevant).</w:t>
                                    </w:r>
                                    <w:r w:rsidRPr="00FD6AE5">
                                      <w:br/>
                                    </w:r>
                                    <w:r w:rsidRPr="00FD6AE5">
                                      <w:br/>
                                      <w:t> </w:t>
                                    </w:r>
                                    <w:r w:rsidRPr="00FD6AE5">
                                      <w:rPr>
                                        <w:b/>
                                        <w:bCs/>
                                      </w:rPr>
                                      <w:t>Deadline: 13th November 2025.</w:t>
                                    </w:r>
                                  </w:p>
                                </w:tc>
                              </w:tr>
                              <w:tr w:rsidR="00FD6AE5" w:rsidRPr="00FD6AE5" w14:paraId="3FBDB4EB"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2065EC4A" w14:textId="77777777">
                                      <w:trPr>
                                        <w:tblCellSpacing w:w="0" w:type="dxa"/>
                                      </w:trPr>
                                      <w:tc>
                                        <w:tcPr>
                                          <w:tcW w:w="0" w:type="auto"/>
                                          <w:shd w:val="clear" w:color="auto" w:fill="B2A2C7"/>
                                          <w:vAlign w:val="center"/>
                                          <w:hideMark/>
                                        </w:tcPr>
                                        <w:p w14:paraId="729D878C" w14:textId="77777777" w:rsidR="00FD6AE5" w:rsidRPr="00FD6AE5" w:rsidRDefault="00FD6AE5" w:rsidP="00FD6AE5">
                                          <w:hyperlink r:id="rId11" w:tgtFrame="_new" w:history="1">
                                            <w:r w:rsidRPr="00FD6AE5">
                                              <w:rPr>
                                                <w:rStyle w:val="Hyperlink"/>
                                                <w:b/>
                                                <w:bCs/>
                                              </w:rPr>
                                              <w:t>More Information</w:t>
                                            </w:r>
                                          </w:hyperlink>
                                        </w:p>
                                      </w:tc>
                                    </w:tr>
                                  </w:tbl>
                                  <w:p w14:paraId="0126920D" w14:textId="77777777" w:rsidR="00FD6AE5" w:rsidRPr="00FD6AE5" w:rsidRDefault="00FD6AE5" w:rsidP="00FD6AE5"/>
                                </w:tc>
                              </w:tr>
                            </w:tbl>
                            <w:p w14:paraId="6BD27E0D" w14:textId="77777777" w:rsidR="00FD6AE5" w:rsidRPr="00FD6AE5" w:rsidRDefault="00FD6AE5" w:rsidP="00FD6AE5"/>
                          </w:tc>
                        </w:tr>
                      </w:tbl>
                      <w:p w14:paraId="36120DA9" w14:textId="77777777" w:rsidR="00FD6AE5" w:rsidRPr="00FD6AE5" w:rsidRDefault="00FD6AE5" w:rsidP="00FD6AE5"/>
                    </w:tc>
                  </w:tr>
                </w:tbl>
                <w:p w14:paraId="1B14583E" w14:textId="77777777" w:rsidR="00FD6AE5" w:rsidRPr="00FD6AE5" w:rsidRDefault="00FD6AE5" w:rsidP="00FD6AE5"/>
              </w:tc>
            </w:tr>
          </w:tbl>
          <w:p w14:paraId="26FCA0AC" w14:textId="77777777" w:rsidR="00FD6AE5" w:rsidRPr="00FD6AE5" w:rsidRDefault="00FD6AE5" w:rsidP="00FD6AE5"/>
        </w:tc>
      </w:tr>
    </w:tbl>
    <w:p w14:paraId="2FA920DD"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4F07F7DA"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0F5DBBFE"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4E458B79"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144382BD" w14:textId="77777777">
                          <w:trPr>
                            <w:tblCellSpacing w:w="0" w:type="dxa"/>
                            <w:jc w:val="center"/>
                          </w:trPr>
                          <w:tc>
                            <w:tcPr>
                              <w:tcW w:w="4140" w:type="dxa"/>
                              <w:tcMar>
                                <w:top w:w="24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74ABA48E" w14:textId="77777777">
                                <w:tc>
                                  <w:tcPr>
                                    <w:tcW w:w="5000" w:type="pct"/>
                                    <w:tcMar>
                                      <w:top w:w="75" w:type="dxa"/>
                                      <w:left w:w="30" w:type="dxa"/>
                                      <w:bottom w:w="75" w:type="dxa"/>
                                      <w:right w:w="30" w:type="dxa"/>
                                    </w:tcMar>
                                    <w:hideMark/>
                                  </w:tcPr>
                                  <w:p w14:paraId="065E8F49" w14:textId="77777777" w:rsidR="00FD6AE5" w:rsidRPr="00FD6AE5" w:rsidRDefault="00FD6AE5" w:rsidP="00FD6AE5">
                                    <w:r w:rsidRPr="00FD6AE5">
                                      <w:rPr>
                                        <w:b/>
                                        <w:bCs/>
                                      </w:rPr>
                                      <w:t>Active Travel Innovation Fund</w:t>
                                    </w:r>
                                  </w:p>
                                </w:tc>
                              </w:tr>
                              <w:tr w:rsidR="00FD6AE5" w:rsidRPr="00FD6AE5" w14:paraId="3A123C60" w14:textId="77777777">
                                <w:tc>
                                  <w:tcPr>
                                    <w:tcW w:w="5000" w:type="pct"/>
                                    <w:tcMar>
                                      <w:top w:w="75" w:type="dxa"/>
                                      <w:left w:w="30" w:type="dxa"/>
                                      <w:bottom w:w="75" w:type="dxa"/>
                                      <w:right w:w="30" w:type="dxa"/>
                                    </w:tcMar>
                                    <w:hideMark/>
                                  </w:tcPr>
                                  <w:p w14:paraId="77D4CEE6" w14:textId="77777777" w:rsidR="00FD6AE5" w:rsidRPr="00FD6AE5" w:rsidRDefault="00FD6AE5" w:rsidP="00FD6AE5">
                                    <w:r w:rsidRPr="00FD6AE5">
                                      <w:t>Active Travel England is inviting organisations who have an innovative behaviour change idea, or from those who wish to scale a proven solution, or service. This funding is designed to enable successful applicants to develop and deliver bold and innovative active travel interventions, aimed at increasing current levels of walking, wheeling, and cycling in England. </w:t>
                                    </w:r>
                                    <w:r w:rsidRPr="00FD6AE5">
                                      <w:br/>
                                    </w:r>
                                    <w:r w:rsidRPr="00FD6AE5">
                                      <w:br/>
                                    </w:r>
                                    <w:r w:rsidRPr="00FD6AE5">
                                      <w:rPr>
                                        <w:b/>
                                        <w:bCs/>
                                      </w:rPr>
                                      <w:t>Deadline: 14th November 2025.</w:t>
                                    </w:r>
                                  </w:p>
                                </w:tc>
                              </w:tr>
                              <w:tr w:rsidR="00FD6AE5" w:rsidRPr="00FD6AE5" w14:paraId="3157FAAD"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4F8CBD6E" w14:textId="77777777">
                                      <w:trPr>
                                        <w:tblCellSpacing w:w="0" w:type="dxa"/>
                                      </w:trPr>
                                      <w:tc>
                                        <w:tcPr>
                                          <w:tcW w:w="0" w:type="auto"/>
                                          <w:shd w:val="clear" w:color="auto" w:fill="B2A2C7"/>
                                          <w:vAlign w:val="center"/>
                                          <w:hideMark/>
                                        </w:tcPr>
                                        <w:p w14:paraId="68A2FB3A" w14:textId="77777777" w:rsidR="00FD6AE5" w:rsidRPr="00FD6AE5" w:rsidRDefault="00FD6AE5" w:rsidP="00FD6AE5">
                                          <w:hyperlink r:id="rId12" w:tgtFrame="_new" w:history="1">
                                            <w:r w:rsidRPr="00FD6AE5">
                                              <w:rPr>
                                                <w:rStyle w:val="Hyperlink"/>
                                                <w:b/>
                                                <w:bCs/>
                                              </w:rPr>
                                              <w:t>More Information</w:t>
                                            </w:r>
                                          </w:hyperlink>
                                        </w:p>
                                      </w:tc>
                                    </w:tr>
                                  </w:tbl>
                                  <w:p w14:paraId="654C0B3C" w14:textId="77777777" w:rsidR="00FD6AE5" w:rsidRPr="00FD6AE5" w:rsidRDefault="00FD6AE5" w:rsidP="00FD6AE5"/>
                                </w:tc>
                              </w:tr>
                            </w:tbl>
                            <w:p w14:paraId="17389EAF" w14:textId="77777777" w:rsidR="00FD6AE5" w:rsidRPr="00FD6AE5" w:rsidRDefault="00FD6AE5" w:rsidP="00FD6AE5"/>
                          </w:tc>
                          <w:tc>
                            <w:tcPr>
                              <w:tcW w:w="4140" w:type="dxa"/>
                              <w:tcMar>
                                <w:top w:w="24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2B4F7651" w14:textId="77777777">
                                <w:tc>
                                  <w:tcPr>
                                    <w:tcW w:w="5000" w:type="pct"/>
                                    <w:tcMar>
                                      <w:top w:w="75" w:type="dxa"/>
                                      <w:left w:w="30" w:type="dxa"/>
                                      <w:bottom w:w="75" w:type="dxa"/>
                                      <w:right w:w="30" w:type="dxa"/>
                                    </w:tcMar>
                                    <w:hideMark/>
                                  </w:tcPr>
                                  <w:p w14:paraId="722C5F43" w14:textId="77777777" w:rsidR="00FD6AE5" w:rsidRPr="00FD6AE5" w:rsidRDefault="00FD6AE5" w:rsidP="00FD6AE5">
                                    <w:r w:rsidRPr="00FD6AE5">
                                      <w:rPr>
                                        <w:b/>
                                        <w:bCs/>
                                      </w:rPr>
                                      <w:t>Youth Music - Trailblazer Fund</w:t>
                                    </w:r>
                                  </w:p>
                                </w:tc>
                              </w:tr>
                              <w:tr w:rsidR="00FD6AE5" w:rsidRPr="00FD6AE5" w14:paraId="5B3DF3C6" w14:textId="77777777">
                                <w:tc>
                                  <w:tcPr>
                                    <w:tcW w:w="5000" w:type="pct"/>
                                    <w:tcMar>
                                      <w:top w:w="75" w:type="dxa"/>
                                      <w:left w:w="30" w:type="dxa"/>
                                      <w:bottom w:w="75" w:type="dxa"/>
                                      <w:right w:w="30" w:type="dxa"/>
                                    </w:tcMar>
                                    <w:hideMark/>
                                  </w:tcPr>
                                  <w:p w14:paraId="227AC756" w14:textId="77777777" w:rsidR="00FD6AE5" w:rsidRPr="00FD6AE5" w:rsidRDefault="00FD6AE5" w:rsidP="00FD6AE5">
                                    <w:r w:rsidRPr="00FD6AE5">
                                      <w:t> The Youth Music Trailblazer fund offers grants of     £2,000 to £30,000 to organisations in England to     run projects for children and young people (25         or under) to make, learn and earn in music. The     project should trial work or test a new way of           working, sustain a grassroots programme or           disrupt the status quo (or all three!).</w:t>
                                    </w:r>
                                    <w:r w:rsidRPr="00FD6AE5">
                                      <w:rPr>
                                        <w:b/>
                                        <w:bCs/>
                                      </w:rPr>
                                      <w:br/>
                                      <w:t> </w:t>
                                    </w:r>
                                    <w:r w:rsidRPr="00FD6AE5">
                                      <w:rPr>
                                        <w:b/>
                                        <w:bCs/>
                                      </w:rPr>
                                      <w:br/>
                                      <w:t> Deadline: 21st November 2025. </w:t>
                                    </w:r>
                                  </w:p>
                                </w:tc>
                              </w:tr>
                              <w:tr w:rsidR="00FD6AE5" w:rsidRPr="00FD6AE5" w14:paraId="141B1DAA"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79A14DFD" w14:textId="77777777">
                                      <w:trPr>
                                        <w:tblCellSpacing w:w="0" w:type="dxa"/>
                                      </w:trPr>
                                      <w:tc>
                                        <w:tcPr>
                                          <w:tcW w:w="0" w:type="auto"/>
                                          <w:shd w:val="clear" w:color="auto" w:fill="B2A2C7"/>
                                          <w:vAlign w:val="center"/>
                                          <w:hideMark/>
                                        </w:tcPr>
                                        <w:p w14:paraId="72BDE258" w14:textId="77777777" w:rsidR="00FD6AE5" w:rsidRPr="00FD6AE5" w:rsidRDefault="00FD6AE5" w:rsidP="00FD6AE5">
                                          <w:hyperlink r:id="rId13" w:tgtFrame="_new" w:history="1">
                                            <w:r w:rsidRPr="00FD6AE5">
                                              <w:rPr>
                                                <w:rStyle w:val="Hyperlink"/>
                                                <w:b/>
                                                <w:bCs/>
                                              </w:rPr>
                                              <w:t>More Information</w:t>
                                            </w:r>
                                          </w:hyperlink>
                                        </w:p>
                                      </w:tc>
                                    </w:tr>
                                  </w:tbl>
                                  <w:p w14:paraId="3C39E536" w14:textId="77777777" w:rsidR="00FD6AE5" w:rsidRPr="00FD6AE5" w:rsidRDefault="00FD6AE5" w:rsidP="00FD6AE5"/>
                                </w:tc>
                              </w:tr>
                            </w:tbl>
                            <w:p w14:paraId="6F4DBC73" w14:textId="77777777" w:rsidR="00FD6AE5" w:rsidRPr="00FD6AE5" w:rsidRDefault="00FD6AE5" w:rsidP="00FD6AE5"/>
                          </w:tc>
                        </w:tr>
                      </w:tbl>
                      <w:p w14:paraId="7CFB42FB" w14:textId="77777777" w:rsidR="00FD6AE5" w:rsidRPr="00FD6AE5" w:rsidRDefault="00FD6AE5" w:rsidP="00FD6AE5"/>
                    </w:tc>
                  </w:tr>
                </w:tbl>
                <w:p w14:paraId="5D047733" w14:textId="77777777" w:rsidR="00FD6AE5" w:rsidRPr="00FD6AE5" w:rsidRDefault="00FD6AE5" w:rsidP="00FD6AE5"/>
              </w:tc>
            </w:tr>
          </w:tbl>
          <w:p w14:paraId="1A01B84C" w14:textId="77777777" w:rsidR="00FD6AE5" w:rsidRPr="00FD6AE5" w:rsidRDefault="00FD6AE5" w:rsidP="00FD6AE5"/>
        </w:tc>
      </w:tr>
    </w:tbl>
    <w:p w14:paraId="7FBC4188"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58DF2E07"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7236CC07"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6C636922"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4F0D0A13" w14:textId="77777777">
                          <w:trPr>
                            <w:tblCellSpacing w:w="0" w:type="dxa"/>
                            <w:jc w:val="center"/>
                          </w:trPr>
                          <w:tc>
                            <w:tcPr>
                              <w:tcW w:w="4140" w:type="dxa"/>
                              <w:tcMar>
                                <w:top w:w="25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2D20BEE8" w14:textId="77777777">
                                <w:tc>
                                  <w:tcPr>
                                    <w:tcW w:w="5000" w:type="pct"/>
                                    <w:tcMar>
                                      <w:top w:w="75" w:type="dxa"/>
                                      <w:left w:w="30" w:type="dxa"/>
                                      <w:bottom w:w="75" w:type="dxa"/>
                                      <w:right w:w="30" w:type="dxa"/>
                                    </w:tcMar>
                                    <w:hideMark/>
                                  </w:tcPr>
                                  <w:p w14:paraId="742AE85A" w14:textId="77777777" w:rsidR="00FD6AE5" w:rsidRPr="00FD6AE5" w:rsidRDefault="00FD6AE5" w:rsidP="00FD6AE5">
                                    <w:r w:rsidRPr="00FD6AE5">
                                      <w:rPr>
                                        <w:b/>
                                        <w:bCs/>
                                      </w:rPr>
                                      <w:t>City Bridge Foundation - Access to Justice</w:t>
                                    </w:r>
                                  </w:p>
                                </w:tc>
                              </w:tr>
                              <w:tr w:rsidR="00FD6AE5" w:rsidRPr="00FD6AE5" w14:paraId="6588BC13" w14:textId="77777777">
                                <w:tc>
                                  <w:tcPr>
                                    <w:tcW w:w="5000" w:type="pct"/>
                                    <w:tcMar>
                                      <w:top w:w="75" w:type="dxa"/>
                                      <w:left w:w="30" w:type="dxa"/>
                                      <w:bottom w:w="75" w:type="dxa"/>
                                      <w:right w:w="30" w:type="dxa"/>
                                    </w:tcMar>
                                    <w:hideMark/>
                                  </w:tcPr>
                                  <w:p w14:paraId="5C4887A5" w14:textId="77777777" w:rsidR="00FD6AE5" w:rsidRPr="00FD6AE5" w:rsidRDefault="00FD6AE5" w:rsidP="00FD6AE5">
                                    <w:r w:rsidRPr="00FD6AE5">
                                      <w:lastRenderedPageBreak/>
                                      <w:t xml:space="preserve">The first round of funding in this </w:t>
                                    </w:r>
                                    <w:r w:rsidRPr="00FD6AE5">
                                      <w:br/>
                                      <w:t>programme is aimed at </w:t>
                                    </w:r>
                                    <w:r w:rsidRPr="00FD6AE5">
                                      <w:rPr>
                                        <w:rFonts w:ascii="Arial" w:hAnsi="Arial" w:cs="Arial"/>
                                      </w:rPr>
                                      <w:t>​</w:t>
                                    </w:r>
                                    <w:r w:rsidRPr="00FD6AE5">
                                      <w:t xml:space="preserve">‘led by and for’ organisations delivering free social welfare advice, engaging in social action work, </w:t>
                                    </w:r>
                                    <w:r w:rsidRPr="00FD6AE5">
                                      <w:br/>
                                      <w:t>and supporting systems change. More rounds will open next year. </w:t>
                                    </w:r>
                                    <w:r w:rsidRPr="00FD6AE5">
                                      <w:br/>
                                    </w:r>
                                    <w:r w:rsidRPr="00FD6AE5">
                                      <w:br/>
                                      <w:t xml:space="preserve">On Monday 10 November 2025, full programme information - including </w:t>
                                    </w:r>
                                    <w:r w:rsidRPr="00FD6AE5">
                                      <w:br/>
                                      <w:t>eligibility guidance and application details will be published on their website.</w:t>
                                    </w:r>
                                    <w:r w:rsidRPr="00FD6AE5">
                                      <w:br/>
                                    </w:r>
                                    <w:r w:rsidRPr="00FD6AE5">
                                      <w:br/>
                                      <w:t xml:space="preserve">A webinar will take place introducing the programme on 11th November 2025 at 11:15am. Book a place </w:t>
                                    </w:r>
                                    <w:hyperlink r:id="rId14" w:history="1">
                                      <w:r w:rsidRPr="00FD6AE5">
                                        <w:rPr>
                                          <w:rStyle w:val="Hyperlink"/>
                                        </w:rPr>
                                        <w:t>here</w:t>
                                      </w:r>
                                    </w:hyperlink>
                                    <w:r w:rsidRPr="00FD6AE5">
                                      <w:t>. </w:t>
                                    </w:r>
                                    <w:r w:rsidRPr="00FD6AE5">
                                      <w:br/>
                                    </w:r>
                                    <w:r w:rsidRPr="00FD6AE5">
                                      <w:br/>
                                    </w:r>
                                    <w:r w:rsidRPr="00FD6AE5">
                                      <w:rPr>
                                        <w:b/>
                                        <w:bCs/>
                                      </w:rPr>
                                      <w:t>Application to apply for this funding opens 14th November 2025. </w:t>
                                    </w:r>
                                  </w:p>
                                </w:tc>
                              </w:tr>
                              <w:tr w:rsidR="00FD6AE5" w:rsidRPr="00FD6AE5" w14:paraId="19695942"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38169B28" w14:textId="77777777">
                                      <w:trPr>
                                        <w:tblCellSpacing w:w="0" w:type="dxa"/>
                                      </w:trPr>
                                      <w:tc>
                                        <w:tcPr>
                                          <w:tcW w:w="0" w:type="auto"/>
                                          <w:shd w:val="clear" w:color="auto" w:fill="B2A2C7"/>
                                          <w:vAlign w:val="center"/>
                                          <w:hideMark/>
                                        </w:tcPr>
                                        <w:p w14:paraId="49A41DC3" w14:textId="77777777" w:rsidR="00FD6AE5" w:rsidRPr="00FD6AE5" w:rsidRDefault="00FD6AE5" w:rsidP="00FD6AE5">
                                          <w:hyperlink r:id="rId15" w:tgtFrame="_new" w:history="1">
                                            <w:r w:rsidRPr="00FD6AE5">
                                              <w:rPr>
                                                <w:rStyle w:val="Hyperlink"/>
                                                <w:b/>
                                                <w:bCs/>
                                              </w:rPr>
                                              <w:t>More Information</w:t>
                                            </w:r>
                                          </w:hyperlink>
                                        </w:p>
                                      </w:tc>
                                    </w:tr>
                                  </w:tbl>
                                  <w:p w14:paraId="564B14C9" w14:textId="77777777" w:rsidR="00FD6AE5" w:rsidRPr="00FD6AE5" w:rsidRDefault="00FD6AE5" w:rsidP="00FD6AE5"/>
                                </w:tc>
                              </w:tr>
                            </w:tbl>
                            <w:p w14:paraId="79920493" w14:textId="77777777" w:rsidR="00FD6AE5" w:rsidRPr="00FD6AE5" w:rsidRDefault="00FD6AE5" w:rsidP="00FD6AE5"/>
                          </w:tc>
                          <w:tc>
                            <w:tcPr>
                              <w:tcW w:w="4140" w:type="dxa"/>
                              <w:tcMar>
                                <w:top w:w="25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681608BE" w14:textId="77777777">
                                <w:tc>
                                  <w:tcPr>
                                    <w:tcW w:w="5000" w:type="pct"/>
                                    <w:tcMar>
                                      <w:top w:w="75" w:type="dxa"/>
                                      <w:left w:w="30" w:type="dxa"/>
                                      <w:bottom w:w="75" w:type="dxa"/>
                                      <w:right w:w="30" w:type="dxa"/>
                                    </w:tcMar>
                                    <w:hideMark/>
                                  </w:tcPr>
                                  <w:p w14:paraId="71C6862B" w14:textId="77777777" w:rsidR="00FD6AE5" w:rsidRPr="00FD6AE5" w:rsidRDefault="00FD6AE5" w:rsidP="00FD6AE5">
                                    <w:r w:rsidRPr="00FD6AE5">
                                      <w:rPr>
                                        <w:b/>
                                        <w:bCs/>
                                      </w:rPr>
                                      <w:lastRenderedPageBreak/>
                                      <w:t>Educational Opportunity Foundation</w:t>
                                    </w:r>
                                  </w:p>
                                </w:tc>
                              </w:tr>
                              <w:tr w:rsidR="00FD6AE5" w:rsidRPr="00FD6AE5" w14:paraId="3CD79E29" w14:textId="77777777">
                                <w:tc>
                                  <w:tcPr>
                                    <w:tcW w:w="5000" w:type="pct"/>
                                    <w:tcMar>
                                      <w:top w:w="75" w:type="dxa"/>
                                      <w:left w:w="30" w:type="dxa"/>
                                      <w:bottom w:w="75" w:type="dxa"/>
                                      <w:right w:w="30" w:type="dxa"/>
                                    </w:tcMar>
                                    <w:hideMark/>
                                  </w:tcPr>
                                  <w:p w14:paraId="305A5B3C" w14:textId="77777777" w:rsidR="00FD6AE5" w:rsidRPr="00FD6AE5" w:rsidRDefault="00FD6AE5" w:rsidP="00FD6AE5">
                                    <w:r w:rsidRPr="00FD6AE5">
                                      <w:t xml:space="preserve"> Educational Opportunity Foundation support           work that improves the </w:t>
                                    </w:r>
                                    <w:r w:rsidRPr="00FD6AE5">
                                      <w:lastRenderedPageBreak/>
                                      <w:t>educational outcomes         and life chances of care experienced young             people (under the age of 25 and living in the UK).</w:t>
                                    </w:r>
                                  </w:p>
                                  <w:p w14:paraId="156ACA17" w14:textId="77777777" w:rsidR="00FD6AE5" w:rsidRPr="00FD6AE5" w:rsidRDefault="00FD6AE5" w:rsidP="00FD6AE5">
                                    <w:r w:rsidRPr="00FD6AE5">
                                      <w:t xml:space="preserve"> They will fund between </w:t>
                                    </w:r>
                                    <w:r w:rsidRPr="00FD6AE5">
                                      <w:rPr>
                                        <w:b/>
                                        <w:bCs/>
                                      </w:rPr>
                                      <w:t>£30,000 to £90,000</w:t>
                                    </w:r>
                                    <w:r w:rsidRPr="00FD6AE5">
                                      <w:t xml:space="preserve"> per       project</w:t>
                                    </w:r>
                                    <w:r w:rsidRPr="00FD6AE5">
                                      <w:rPr>
                                        <w:rFonts w:ascii="Arial" w:hAnsi="Arial" w:cs="Arial"/>
                                      </w:rPr>
                                      <w:t> </w:t>
                                    </w:r>
                                    <w:r w:rsidRPr="00FD6AE5">
                                      <w:t xml:space="preserve">for up to three years (maximum </w:t>
                                    </w:r>
                                    <w:r w:rsidRPr="00FD6AE5">
                                      <w:rPr>
                                        <w:rFonts w:ascii="Aptos" w:hAnsi="Aptos" w:cs="Aptos"/>
                                      </w:rPr>
                                      <w:t>£</w:t>
                                    </w:r>
                                    <w:r w:rsidRPr="00FD6AE5">
                                      <w:t>30,000</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per year for </w:t>
                                    </w:r>
                                    <w:proofErr w:type="spellStart"/>
                                    <w:r w:rsidRPr="00FD6AE5">
                                      <w:t>multi year</w:t>
                                    </w:r>
                                    <w:proofErr w:type="spellEnd"/>
                                    <w:r w:rsidRPr="00FD6AE5">
                                      <w:t xml:space="preserve"> projects) for projects</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which work with either care experienced young</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 </w:t>
                                    </w:r>
                                    <w:r w:rsidRPr="00FD6AE5">
                                      <w:rPr>
                                        <w:rFonts w:ascii="Aptos" w:hAnsi="Aptos" w:cs="Aptos"/>
                                      </w:rPr>
                                      <w:t> </w:t>
                                    </w:r>
                                    <w:r w:rsidRPr="00FD6AE5">
                                      <w:t xml:space="preserve">people, their carers or education professionals       to improve access to educational </w:t>
                                    </w:r>
                                    <w:proofErr w:type="gramStart"/>
                                    <w:r w:rsidRPr="00FD6AE5">
                                      <w:t>opportunity,   </w:t>
                                    </w:r>
                                    <w:proofErr w:type="gramEnd"/>
                                    <w:r w:rsidRPr="00FD6AE5">
                                      <w:t xml:space="preserve">      improve educational outcomes and improve life       chances.  </w:t>
                                    </w:r>
                                    <w:r w:rsidRPr="00FD6AE5">
                                      <w:br/>
                                    </w:r>
                                    <w:r w:rsidRPr="00FD6AE5">
                                      <w:br/>
                                    </w:r>
                                    <w:r w:rsidRPr="00FD6AE5">
                                      <w:rPr>
                                        <w:b/>
                                        <w:bCs/>
                                      </w:rPr>
                                      <w:br/>
                                      <w:t> Deadline: 14th January 2025.</w:t>
                                    </w:r>
                                  </w:p>
                                </w:tc>
                              </w:tr>
                              <w:tr w:rsidR="00FD6AE5" w:rsidRPr="00FD6AE5" w14:paraId="184B9A8E"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1938B788" w14:textId="77777777">
                                      <w:trPr>
                                        <w:tblCellSpacing w:w="0" w:type="dxa"/>
                                      </w:trPr>
                                      <w:tc>
                                        <w:tcPr>
                                          <w:tcW w:w="0" w:type="auto"/>
                                          <w:shd w:val="clear" w:color="auto" w:fill="B2A2C7"/>
                                          <w:vAlign w:val="center"/>
                                          <w:hideMark/>
                                        </w:tcPr>
                                        <w:p w14:paraId="36DB6183" w14:textId="77777777" w:rsidR="00FD6AE5" w:rsidRPr="00FD6AE5" w:rsidRDefault="00FD6AE5" w:rsidP="00FD6AE5">
                                          <w:hyperlink r:id="rId16" w:tgtFrame="_new" w:history="1">
                                            <w:r w:rsidRPr="00FD6AE5">
                                              <w:rPr>
                                                <w:rStyle w:val="Hyperlink"/>
                                                <w:b/>
                                                <w:bCs/>
                                              </w:rPr>
                                              <w:t>More Information</w:t>
                                            </w:r>
                                          </w:hyperlink>
                                        </w:p>
                                      </w:tc>
                                    </w:tr>
                                  </w:tbl>
                                  <w:p w14:paraId="2FE5A730" w14:textId="77777777" w:rsidR="00FD6AE5" w:rsidRPr="00FD6AE5" w:rsidRDefault="00FD6AE5" w:rsidP="00FD6AE5"/>
                                </w:tc>
                              </w:tr>
                            </w:tbl>
                            <w:p w14:paraId="27750351" w14:textId="77777777" w:rsidR="00FD6AE5" w:rsidRPr="00FD6AE5" w:rsidRDefault="00FD6AE5" w:rsidP="00FD6AE5"/>
                          </w:tc>
                        </w:tr>
                      </w:tbl>
                      <w:p w14:paraId="424857F7" w14:textId="77777777" w:rsidR="00FD6AE5" w:rsidRPr="00FD6AE5" w:rsidRDefault="00FD6AE5" w:rsidP="00FD6AE5"/>
                    </w:tc>
                  </w:tr>
                </w:tbl>
                <w:p w14:paraId="3CC5255A" w14:textId="77777777" w:rsidR="00FD6AE5" w:rsidRPr="00FD6AE5" w:rsidRDefault="00FD6AE5" w:rsidP="00FD6AE5"/>
              </w:tc>
            </w:tr>
          </w:tbl>
          <w:p w14:paraId="3B3E1CAF" w14:textId="77777777" w:rsidR="00FD6AE5" w:rsidRPr="00FD6AE5" w:rsidRDefault="00FD6AE5" w:rsidP="00FD6AE5"/>
        </w:tc>
      </w:tr>
    </w:tbl>
    <w:p w14:paraId="04F5B530"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0F0F7B7B"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222D73F7"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4A01A005"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3F35B427" w14:textId="77777777">
                          <w:trPr>
                            <w:tblCellSpacing w:w="0" w:type="dxa"/>
                            <w:jc w:val="center"/>
                          </w:trPr>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3B4999A1" w14:textId="77777777">
                                <w:tc>
                                  <w:tcPr>
                                    <w:tcW w:w="5000" w:type="pct"/>
                                    <w:tcMar>
                                      <w:top w:w="75" w:type="dxa"/>
                                      <w:left w:w="30" w:type="dxa"/>
                                      <w:bottom w:w="75" w:type="dxa"/>
                                      <w:right w:w="30" w:type="dxa"/>
                                    </w:tcMar>
                                    <w:hideMark/>
                                  </w:tcPr>
                                  <w:p w14:paraId="6134A277" w14:textId="77777777" w:rsidR="00FD6AE5" w:rsidRPr="00FD6AE5" w:rsidRDefault="00FD6AE5" w:rsidP="00FD6AE5">
                                    <w:r w:rsidRPr="00FD6AE5">
                                      <w:rPr>
                                        <w:b/>
                                        <w:bCs/>
                                      </w:rPr>
                                      <w:t xml:space="preserve">Dying Matters Community </w:t>
                                    </w:r>
                                    <w:proofErr w:type="gramStart"/>
                                    <w:r w:rsidRPr="00FD6AE5">
                                      <w:rPr>
                                        <w:b/>
                                        <w:bCs/>
                                      </w:rPr>
                                      <w:t>grants</w:t>
                                    </w:r>
                                    <w:proofErr w:type="gramEnd"/>
                                    <w:r w:rsidRPr="00FD6AE5">
                                      <w:rPr>
                                        <w:b/>
                                        <w:bCs/>
                                      </w:rPr>
                                      <w:t xml:space="preserve"> Programme </w:t>
                                    </w:r>
                                  </w:p>
                                </w:tc>
                              </w:tr>
                              <w:tr w:rsidR="00FD6AE5" w:rsidRPr="00FD6AE5" w14:paraId="1C6A35C4" w14:textId="77777777">
                                <w:tc>
                                  <w:tcPr>
                                    <w:tcW w:w="5000" w:type="pct"/>
                                    <w:tcMar>
                                      <w:top w:w="75" w:type="dxa"/>
                                      <w:left w:w="30" w:type="dxa"/>
                                      <w:bottom w:w="75" w:type="dxa"/>
                                      <w:right w:w="30" w:type="dxa"/>
                                    </w:tcMar>
                                    <w:hideMark/>
                                  </w:tcPr>
                                  <w:p w14:paraId="11978CA2" w14:textId="77777777" w:rsidR="00FD6AE5" w:rsidRPr="00FD6AE5" w:rsidRDefault="00FD6AE5" w:rsidP="00FD6AE5">
                                    <w:r w:rsidRPr="00FD6AE5">
                                      <w:t xml:space="preserve">Hospice UK's Dying Matters campaign is working to create an open culture which </w:t>
                                    </w:r>
                                    <w:r w:rsidRPr="00FD6AE5">
                                      <w:br/>
                                      <w:t xml:space="preserve">are comfortable taking about death, dying and grief. This grant programme directly supports creative arts and culture projects, events and activities that focus </w:t>
                                    </w:r>
                                    <w:r w:rsidRPr="00FD6AE5">
                                      <w:br/>
                                      <w:t xml:space="preserve">on </w:t>
                                    </w:r>
                                    <w:proofErr w:type="gramStart"/>
                                    <w:r w:rsidRPr="00FD6AE5">
                                      <w:t>opening up</w:t>
                                    </w:r>
                                    <w:proofErr w:type="gramEnd"/>
                                    <w:r w:rsidRPr="00FD6AE5">
                                      <w:t xml:space="preserve"> the conversation about death and </w:t>
                                    </w:r>
                                    <w:r w:rsidRPr="00FD6AE5">
                                      <w:br/>
                                      <w:t>dying. Especially those which reach communities who we know are traditionally less likely to be reached by hospice care and the Dying Matters campaign.</w:t>
                                    </w:r>
                                    <w:r w:rsidRPr="00FD6AE5">
                                      <w:br/>
                                    </w:r>
                                    <w:r w:rsidRPr="00FD6AE5">
                                      <w:br/>
                                      <w:t xml:space="preserve">You must be a member of Hospice UK and based in </w:t>
                                    </w:r>
                                    <w:r w:rsidRPr="00FD6AE5">
                                      <w:br/>
                                      <w:t>the UK to apply. You can be an adult hospice, children's hospice or provide care for all ages. </w:t>
                                    </w:r>
                                  </w:p>
                                  <w:p w14:paraId="7DFADFD7" w14:textId="77777777" w:rsidR="00FD6AE5" w:rsidRPr="00FD6AE5" w:rsidRDefault="00FD6AE5" w:rsidP="00FD6AE5">
                                    <w:r w:rsidRPr="00FD6AE5">
                                      <w:rPr>
                                        <w:b/>
                                        <w:bCs/>
                                      </w:rPr>
                                      <w:t>Deadline: 5pm, 5th December 2025.</w:t>
                                    </w:r>
                                  </w:p>
                                </w:tc>
                              </w:tr>
                              <w:tr w:rsidR="00FD6AE5" w:rsidRPr="00FD6AE5" w14:paraId="2319922B"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7D9FB4DC" w14:textId="77777777">
                                      <w:trPr>
                                        <w:tblCellSpacing w:w="0" w:type="dxa"/>
                                      </w:trPr>
                                      <w:tc>
                                        <w:tcPr>
                                          <w:tcW w:w="0" w:type="auto"/>
                                          <w:shd w:val="clear" w:color="auto" w:fill="B2A2C7"/>
                                          <w:vAlign w:val="center"/>
                                          <w:hideMark/>
                                        </w:tcPr>
                                        <w:p w14:paraId="319D6104" w14:textId="77777777" w:rsidR="00FD6AE5" w:rsidRPr="00FD6AE5" w:rsidRDefault="00FD6AE5" w:rsidP="00FD6AE5">
                                          <w:hyperlink r:id="rId17" w:tgtFrame="_new" w:history="1">
                                            <w:r w:rsidRPr="00FD6AE5">
                                              <w:rPr>
                                                <w:rStyle w:val="Hyperlink"/>
                                                <w:b/>
                                                <w:bCs/>
                                              </w:rPr>
                                              <w:t>More Information</w:t>
                                            </w:r>
                                          </w:hyperlink>
                                        </w:p>
                                      </w:tc>
                                    </w:tr>
                                  </w:tbl>
                                  <w:p w14:paraId="72EA5707" w14:textId="77777777" w:rsidR="00FD6AE5" w:rsidRPr="00FD6AE5" w:rsidRDefault="00FD6AE5" w:rsidP="00FD6AE5"/>
                                </w:tc>
                              </w:tr>
                            </w:tbl>
                            <w:p w14:paraId="27094162" w14:textId="77777777" w:rsidR="00FD6AE5" w:rsidRPr="00FD6AE5" w:rsidRDefault="00FD6AE5" w:rsidP="00FD6AE5"/>
                          </w:tc>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7F93E9D2" w14:textId="77777777">
                                <w:tc>
                                  <w:tcPr>
                                    <w:tcW w:w="5000" w:type="pct"/>
                                    <w:tcMar>
                                      <w:top w:w="75" w:type="dxa"/>
                                      <w:left w:w="30" w:type="dxa"/>
                                      <w:bottom w:w="75" w:type="dxa"/>
                                      <w:right w:w="30" w:type="dxa"/>
                                    </w:tcMar>
                                    <w:hideMark/>
                                  </w:tcPr>
                                  <w:p w14:paraId="291E0433" w14:textId="77777777" w:rsidR="00FD6AE5" w:rsidRPr="00FD6AE5" w:rsidRDefault="00FD6AE5" w:rsidP="00FD6AE5">
                                    <w:r w:rsidRPr="00FD6AE5">
                                      <w:rPr>
                                        <w:b/>
                                        <w:bCs/>
                                      </w:rPr>
                                      <w:lastRenderedPageBreak/>
                                      <w:t>John Rayner Charitable Trust</w:t>
                                    </w:r>
                                  </w:p>
                                </w:tc>
                              </w:tr>
                              <w:tr w:rsidR="00FD6AE5" w:rsidRPr="00FD6AE5" w14:paraId="6632D844" w14:textId="77777777">
                                <w:tc>
                                  <w:tcPr>
                                    <w:tcW w:w="5000" w:type="pct"/>
                                    <w:tcMar>
                                      <w:top w:w="75" w:type="dxa"/>
                                      <w:left w:w="30" w:type="dxa"/>
                                      <w:bottom w:w="75" w:type="dxa"/>
                                      <w:right w:w="30" w:type="dxa"/>
                                    </w:tcMar>
                                    <w:hideMark/>
                                  </w:tcPr>
                                  <w:p w14:paraId="687E2090" w14:textId="77777777" w:rsidR="00FD6AE5" w:rsidRPr="00FD6AE5" w:rsidRDefault="00FD6AE5" w:rsidP="00FD6AE5">
                                    <w:r w:rsidRPr="00FD6AE5">
                                      <w:rPr>
                                        <w:b/>
                                        <w:bCs/>
                                      </w:rPr>
                                      <w:t> </w:t>
                                    </w:r>
                                    <w:r w:rsidRPr="00FD6AE5">
                                      <w:t xml:space="preserve">John Rayner (1928-1990) and his wife, </w:t>
                                    </w:r>
                                    <w:proofErr w:type="gramStart"/>
                                    <w:r w:rsidRPr="00FD6AE5">
                                      <w:t>Juliet,   </w:t>
                                    </w:r>
                                    <w:proofErr w:type="gramEnd"/>
                                    <w:r w:rsidRPr="00FD6AE5">
                                      <w:t xml:space="preserve">      </w:t>
                                    </w:r>
                                    <w:proofErr w:type="gramStart"/>
                                    <w:r w:rsidRPr="00FD6AE5">
                                      <w:t>formed  a</w:t>
                                    </w:r>
                                    <w:proofErr w:type="gramEnd"/>
                                    <w:r w:rsidRPr="00FD6AE5">
                                      <w:t xml:space="preserve"> Charitable Trust in 1985 in memory of     their son Simeon, who died in a road accident. </w:t>
                                    </w:r>
                                  </w:p>
                                  <w:p w14:paraId="49B41725" w14:textId="77777777" w:rsidR="00FD6AE5" w:rsidRPr="00FD6AE5" w:rsidRDefault="00FD6AE5" w:rsidP="00FD6AE5">
                                    <w:r w:rsidRPr="00FD6AE5">
                                      <w:t> This trust was primarily to help children and             young people who were deprived or in difficulty. </w:t>
                                    </w:r>
                                    <w:r w:rsidRPr="00FD6AE5">
                                      <w:br/>
                                      <w:t> Funding between £1000 and £5000 is available       for charities who support:   </w:t>
                                    </w:r>
                                  </w:p>
                                  <w:p w14:paraId="1CE8B053" w14:textId="77777777" w:rsidR="00FD6AE5" w:rsidRPr="00FD6AE5" w:rsidRDefault="00FD6AE5" w:rsidP="00FD6AE5">
                                    <w:pPr>
                                      <w:numPr>
                                        <w:ilvl w:val="0"/>
                                        <w:numId w:val="1"/>
                                      </w:numPr>
                                    </w:pPr>
                                    <w:r w:rsidRPr="00FD6AE5">
                                      <w:t>Children and young people</w:t>
                                    </w:r>
                                  </w:p>
                                  <w:p w14:paraId="25C11760" w14:textId="77777777" w:rsidR="00FD6AE5" w:rsidRPr="00FD6AE5" w:rsidRDefault="00FD6AE5" w:rsidP="00FD6AE5">
                                    <w:pPr>
                                      <w:numPr>
                                        <w:ilvl w:val="0"/>
                                        <w:numId w:val="1"/>
                                      </w:numPr>
                                    </w:pPr>
                                    <w:r w:rsidRPr="00FD6AE5">
                                      <w:t>Carers and elderly</w:t>
                                    </w:r>
                                  </w:p>
                                  <w:p w14:paraId="7BAA92B1" w14:textId="77777777" w:rsidR="00FD6AE5" w:rsidRPr="00FD6AE5" w:rsidRDefault="00FD6AE5" w:rsidP="00FD6AE5">
                                    <w:pPr>
                                      <w:numPr>
                                        <w:ilvl w:val="0"/>
                                        <w:numId w:val="1"/>
                                      </w:numPr>
                                    </w:pPr>
                                    <w:r w:rsidRPr="00FD6AE5">
                                      <w:t>Medical support </w:t>
                                    </w:r>
                                  </w:p>
                                  <w:p w14:paraId="59CA81D1" w14:textId="77777777" w:rsidR="00FD6AE5" w:rsidRPr="00FD6AE5" w:rsidRDefault="00FD6AE5" w:rsidP="00FD6AE5">
                                    <w:pPr>
                                      <w:numPr>
                                        <w:ilvl w:val="0"/>
                                        <w:numId w:val="1"/>
                                      </w:numPr>
                                    </w:pPr>
                                    <w:r w:rsidRPr="00FD6AE5">
                                      <w:t>Sports for all ages and disabilities</w:t>
                                    </w:r>
                                  </w:p>
                                  <w:p w14:paraId="48E30FF5" w14:textId="77777777" w:rsidR="00FD6AE5" w:rsidRPr="00FD6AE5" w:rsidRDefault="00FD6AE5" w:rsidP="00FD6AE5">
                                    <w:pPr>
                                      <w:numPr>
                                        <w:ilvl w:val="0"/>
                                        <w:numId w:val="1"/>
                                      </w:numPr>
                                    </w:pPr>
                                    <w:r w:rsidRPr="00FD6AE5">
                                      <w:t>The arts</w:t>
                                    </w:r>
                                  </w:p>
                                  <w:p w14:paraId="49E80C76" w14:textId="77777777" w:rsidR="00FD6AE5" w:rsidRPr="00FD6AE5" w:rsidRDefault="00FD6AE5" w:rsidP="00FD6AE5">
                                    <w:r w:rsidRPr="00FD6AE5">
                                      <w:rPr>
                                        <w:b/>
                                        <w:bCs/>
                                      </w:rPr>
                                      <w:t> Deadline: 30th January 2026.</w:t>
                                    </w:r>
                                  </w:p>
                                </w:tc>
                              </w:tr>
                              <w:tr w:rsidR="00FD6AE5" w:rsidRPr="00FD6AE5" w14:paraId="26BA3237"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51061623" w14:textId="77777777">
                                      <w:trPr>
                                        <w:tblCellSpacing w:w="0" w:type="dxa"/>
                                      </w:trPr>
                                      <w:tc>
                                        <w:tcPr>
                                          <w:tcW w:w="0" w:type="auto"/>
                                          <w:shd w:val="clear" w:color="auto" w:fill="B2A2C7"/>
                                          <w:vAlign w:val="center"/>
                                          <w:hideMark/>
                                        </w:tcPr>
                                        <w:p w14:paraId="479F9AE5" w14:textId="77777777" w:rsidR="00FD6AE5" w:rsidRPr="00FD6AE5" w:rsidRDefault="00FD6AE5" w:rsidP="00FD6AE5">
                                          <w:hyperlink r:id="rId18" w:tgtFrame="_new" w:history="1">
                                            <w:r w:rsidRPr="00FD6AE5">
                                              <w:rPr>
                                                <w:rStyle w:val="Hyperlink"/>
                                                <w:b/>
                                                <w:bCs/>
                                              </w:rPr>
                                              <w:t>More Information</w:t>
                                            </w:r>
                                          </w:hyperlink>
                                        </w:p>
                                      </w:tc>
                                    </w:tr>
                                  </w:tbl>
                                  <w:p w14:paraId="718C1979" w14:textId="77777777" w:rsidR="00FD6AE5" w:rsidRPr="00FD6AE5" w:rsidRDefault="00FD6AE5" w:rsidP="00FD6AE5"/>
                                </w:tc>
                              </w:tr>
                            </w:tbl>
                            <w:p w14:paraId="50253A2D" w14:textId="77777777" w:rsidR="00FD6AE5" w:rsidRPr="00FD6AE5" w:rsidRDefault="00FD6AE5" w:rsidP="00FD6AE5"/>
                          </w:tc>
                        </w:tr>
                      </w:tbl>
                      <w:p w14:paraId="0A4D13EA" w14:textId="77777777" w:rsidR="00FD6AE5" w:rsidRPr="00FD6AE5" w:rsidRDefault="00FD6AE5" w:rsidP="00FD6AE5"/>
                    </w:tc>
                  </w:tr>
                </w:tbl>
                <w:p w14:paraId="3B64B982" w14:textId="77777777" w:rsidR="00FD6AE5" w:rsidRPr="00FD6AE5" w:rsidRDefault="00FD6AE5" w:rsidP="00FD6AE5"/>
              </w:tc>
            </w:tr>
          </w:tbl>
          <w:p w14:paraId="44C68600" w14:textId="77777777" w:rsidR="00FD6AE5" w:rsidRPr="00FD6AE5" w:rsidRDefault="00FD6AE5" w:rsidP="00FD6AE5"/>
        </w:tc>
      </w:tr>
    </w:tbl>
    <w:p w14:paraId="6000CA1D"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438D163F"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0A7452E7"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33CA8C88"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4C212FC9" w14:textId="77777777">
                          <w:trPr>
                            <w:tblCellSpacing w:w="0" w:type="dxa"/>
                            <w:jc w:val="center"/>
                          </w:trPr>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2DA02958" w14:textId="77777777">
                                <w:tc>
                                  <w:tcPr>
                                    <w:tcW w:w="5000" w:type="pct"/>
                                    <w:tcMar>
                                      <w:top w:w="75" w:type="dxa"/>
                                      <w:left w:w="30" w:type="dxa"/>
                                      <w:bottom w:w="75" w:type="dxa"/>
                                      <w:right w:w="30" w:type="dxa"/>
                                    </w:tcMar>
                                    <w:hideMark/>
                                  </w:tcPr>
                                  <w:p w14:paraId="1956AFBA" w14:textId="77777777" w:rsidR="00FD6AE5" w:rsidRPr="00FD6AE5" w:rsidRDefault="00FD6AE5" w:rsidP="00FD6AE5">
                                    <w:r w:rsidRPr="00FD6AE5">
                                      <w:rPr>
                                        <w:b/>
                                        <w:bCs/>
                                      </w:rPr>
                                      <w:t>Warburtons Financial Giving</w:t>
                                    </w:r>
                                  </w:p>
                                </w:tc>
                              </w:tr>
                              <w:tr w:rsidR="00FD6AE5" w:rsidRPr="00FD6AE5" w14:paraId="550922D5" w14:textId="77777777">
                                <w:tc>
                                  <w:tcPr>
                                    <w:tcW w:w="5000" w:type="pct"/>
                                    <w:tcMar>
                                      <w:top w:w="75" w:type="dxa"/>
                                      <w:left w:w="30" w:type="dxa"/>
                                      <w:bottom w:w="75" w:type="dxa"/>
                                      <w:right w:w="30" w:type="dxa"/>
                                    </w:tcMar>
                                    <w:hideMark/>
                                  </w:tcPr>
                                  <w:p w14:paraId="745EE657" w14:textId="77777777" w:rsidR="00FD6AE5" w:rsidRPr="00FD6AE5" w:rsidRDefault="00FD6AE5" w:rsidP="00FD6AE5">
                                    <w:r w:rsidRPr="00FD6AE5">
                                      <w:t xml:space="preserve">Warburtons Community Grants provides small grants up to £400 to support charitable organisations towards broader activities which improve Health, Place or </w:t>
                                    </w:r>
                                    <w:r w:rsidRPr="00FD6AE5">
                                      <w:br/>
                                      <w:t>Skills for families in their community.</w:t>
                                    </w:r>
                                    <w:r w:rsidRPr="00FD6AE5">
                                      <w:br/>
                                    </w:r>
                                    <w:r w:rsidRPr="00FD6AE5">
                                      <w:br/>
                                      <w:t xml:space="preserve">Based on their localism approach, their community investment funds are allocated to local bakeries and depots. This helps their Community Champions to make the best decisions for their local communities. They will use your postcode to understand which of their sites is closest to you and they will then receive the application and </w:t>
                                    </w:r>
                                    <w:proofErr w:type="gramStart"/>
                                    <w:r w:rsidRPr="00FD6AE5">
                                      <w:t>make a decision</w:t>
                                    </w:r>
                                    <w:proofErr w:type="gramEnd"/>
                                    <w:r w:rsidRPr="00FD6AE5">
                                      <w:t>.</w:t>
                                    </w:r>
                                    <w:r w:rsidRPr="00FD6AE5">
                                      <w:br/>
                                    </w:r>
                                    <w:r w:rsidRPr="00FD6AE5">
                                      <w:br/>
                                    </w:r>
                                    <w:r w:rsidRPr="00FD6AE5">
                                      <w:rPr>
                                        <w:b/>
                                        <w:bCs/>
                                      </w:rPr>
                                      <w:t xml:space="preserve">Deadline to apply is not yet confirmed. </w:t>
                                    </w:r>
                                    <w:r w:rsidRPr="00FD6AE5">
                                      <w:t>Community grants are decided on a quarterly basis. </w:t>
                                    </w:r>
                                  </w:p>
                                  <w:p w14:paraId="77B77B7B" w14:textId="77777777" w:rsidR="00FD6AE5" w:rsidRPr="00FD6AE5" w:rsidRDefault="00FD6AE5" w:rsidP="00FD6AE5">
                                    <w:r w:rsidRPr="00FD6AE5">
                                      <w:t> </w:t>
                                    </w:r>
                                  </w:p>
                                </w:tc>
                              </w:tr>
                              <w:tr w:rsidR="00FD6AE5" w:rsidRPr="00FD6AE5" w14:paraId="666FE0A7"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7E94C7C1" w14:textId="77777777">
                                      <w:trPr>
                                        <w:tblCellSpacing w:w="0" w:type="dxa"/>
                                      </w:trPr>
                                      <w:tc>
                                        <w:tcPr>
                                          <w:tcW w:w="0" w:type="auto"/>
                                          <w:shd w:val="clear" w:color="auto" w:fill="B2A2C7"/>
                                          <w:vAlign w:val="center"/>
                                          <w:hideMark/>
                                        </w:tcPr>
                                        <w:p w14:paraId="5A8A16AD" w14:textId="77777777" w:rsidR="00FD6AE5" w:rsidRPr="00FD6AE5" w:rsidRDefault="00FD6AE5" w:rsidP="00FD6AE5">
                                          <w:hyperlink r:id="rId19" w:tgtFrame="_new" w:history="1">
                                            <w:r w:rsidRPr="00FD6AE5">
                                              <w:rPr>
                                                <w:rStyle w:val="Hyperlink"/>
                                                <w:b/>
                                                <w:bCs/>
                                              </w:rPr>
                                              <w:t>More Information</w:t>
                                            </w:r>
                                          </w:hyperlink>
                                        </w:p>
                                      </w:tc>
                                    </w:tr>
                                  </w:tbl>
                                  <w:p w14:paraId="2CC0404F" w14:textId="77777777" w:rsidR="00FD6AE5" w:rsidRPr="00FD6AE5" w:rsidRDefault="00FD6AE5" w:rsidP="00FD6AE5"/>
                                </w:tc>
                              </w:tr>
                            </w:tbl>
                            <w:p w14:paraId="6D0A4B38" w14:textId="77777777" w:rsidR="00FD6AE5" w:rsidRPr="00FD6AE5" w:rsidRDefault="00FD6AE5" w:rsidP="00FD6AE5"/>
                          </w:tc>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48D45362" w14:textId="77777777">
                                <w:tc>
                                  <w:tcPr>
                                    <w:tcW w:w="5000" w:type="pct"/>
                                    <w:tcMar>
                                      <w:top w:w="75" w:type="dxa"/>
                                      <w:left w:w="30" w:type="dxa"/>
                                      <w:bottom w:w="75" w:type="dxa"/>
                                      <w:right w:w="30" w:type="dxa"/>
                                    </w:tcMar>
                                    <w:hideMark/>
                                  </w:tcPr>
                                  <w:p w14:paraId="3EF49A68" w14:textId="77777777" w:rsidR="00FD6AE5" w:rsidRPr="00FD6AE5" w:rsidRDefault="00FD6AE5" w:rsidP="00FD6AE5">
                                    <w:r w:rsidRPr="00FD6AE5">
                                      <w:rPr>
                                        <w:b/>
                                        <w:bCs/>
                                      </w:rPr>
                                      <w:t>Blue Spark Foundation</w:t>
                                    </w:r>
                                  </w:p>
                                </w:tc>
                              </w:tr>
                              <w:tr w:rsidR="00FD6AE5" w:rsidRPr="00FD6AE5" w14:paraId="3FB45BF1" w14:textId="77777777">
                                <w:tc>
                                  <w:tcPr>
                                    <w:tcW w:w="5000" w:type="pct"/>
                                    <w:tcMar>
                                      <w:top w:w="75" w:type="dxa"/>
                                      <w:left w:w="30" w:type="dxa"/>
                                      <w:bottom w:w="75" w:type="dxa"/>
                                      <w:right w:w="30" w:type="dxa"/>
                                    </w:tcMar>
                                    <w:hideMark/>
                                  </w:tcPr>
                                  <w:p w14:paraId="148FBB02" w14:textId="77777777" w:rsidR="00FD6AE5" w:rsidRPr="00FD6AE5" w:rsidRDefault="00FD6AE5" w:rsidP="00FD6AE5">
                                    <w:r w:rsidRPr="00FD6AE5">
                                      <w:t> </w:t>
                                    </w:r>
                                    <w:proofErr w:type="spellStart"/>
                                    <w:r w:rsidRPr="00FD6AE5">
                                      <w:t>BlueSpark</w:t>
                                    </w:r>
                                    <w:proofErr w:type="spellEnd"/>
                                    <w:r w:rsidRPr="00FD6AE5">
                                      <w:t xml:space="preserve"> Foundation aims to help children and     young people reach their full potential by   supporting projects which have the following           objectives: </w:t>
                                    </w:r>
                                  </w:p>
                                  <w:p w14:paraId="6905FE7C" w14:textId="77777777" w:rsidR="00FD6AE5" w:rsidRPr="00FD6AE5" w:rsidRDefault="00FD6AE5" w:rsidP="00FD6AE5">
                                    <w:pPr>
                                      <w:numPr>
                                        <w:ilvl w:val="0"/>
                                        <w:numId w:val="2"/>
                                      </w:numPr>
                                    </w:pPr>
                                    <w:r w:rsidRPr="00FD6AE5">
                                      <w:t>Encouraging Independence</w:t>
                                    </w:r>
                                  </w:p>
                                  <w:p w14:paraId="2600D52F" w14:textId="77777777" w:rsidR="00FD6AE5" w:rsidRPr="00FD6AE5" w:rsidRDefault="00FD6AE5" w:rsidP="00FD6AE5">
                                    <w:pPr>
                                      <w:numPr>
                                        <w:ilvl w:val="0"/>
                                        <w:numId w:val="2"/>
                                      </w:numPr>
                                    </w:pPr>
                                    <w:r w:rsidRPr="00FD6AE5">
                                      <w:t>Developing team working skills</w:t>
                                    </w:r>
                                  </w:p>
                                  <w:p w14:paraId="08FF2267" w14:textId="77777777" w:rsidR="00FD6AE5" w:rsidRPr="00FD6AE5" w:rsidRDefault="00FD6AE5" w:rsidP="00FD6AE5">
                                    <w:pPr>
                                      <w:numPr>
                                        <w:ilvl w:val="0"/>
                                        <w:numId w:val="2"/>
                                      </w:numPr>
                                    </w:pPr>
                                    <w:r w:rsidRPr="00FD6AE5">
                                      <w:t>Developing self confidence</w:t>
                                    </w:r>
                                  </w:p>
                                  <w:p w14:paraId="3ED770FB" w14:textId="77777777" w:rsidR="00FD6AE5" w:rsidRPr="00FD6AE5" w:rsidRDefault="00FD6AE5" w:rsidP="00FD6AE5">
                                    <w:pPr>
                                      <w:numPr>
                                        <w:ilvl w:val="0"/>
                                        <w:numId w:val="2"/>
                                      </w:numPr>
                                    </w:pPr>
                                    <w:r w:rsidRPr="00FD6AE5">
                                      <w:t>Promoting creativity &amp; individuality</w:t>
                                    </w:r>
                                  </w:p>
                                  <w:p w14:paraId="6A16236C" w14:textId="77777777" w:rsidR="00FD6AE5" w:rsidRPr="00FD6AE5" w:rsidRDefault="00FD6AE5" w:rsidP="00FD6AE5">
                                    <w:pPr>
                                      <w:numPr>
                                        <w:ilvl w:val="0"/>
                                        <w:numId w:val="2"/>
                                      </w:numPr>
                                    </w:pPr>
                                    <w:r w:rsidRPr="00FD6AE5">
                                      <w:t>Encouraging aspiration</w:t>
                                    </w:r>
                                  </w:p>
                                  <w:p w14:paraId="6E59E90F" w14:textId="77777777" w:rsidR="00FD6AE5" w:rsidRPr="00FD6AE5" w:rsidRDefault="00FD6AE5" w:rsidP="00FD6AE5">
                                    <w:pPr>
                                      <w:numPr>
                                        <w:ilvl w:val="0"/>
                                        <w:numId w:val="2"/>
                                      </w:numPr>
                                    </w:pPr>
                                    <w:r w:rsidRPr="00FD6AE5">
                                      <w:t>Enhancing educational achievement </w:t>
                                    </w:r>
                                  </w:p>
                                  <w:p w14:paraId="0A4EC3D6" w14:textId="77777777" w:rsidR="00FD6AE5" w:rsidRPr="00FD6AE5" w:rsidRDefault="00FD6AE5" w:rsidP="00FD6AE5">
                                    <w:pPr>
                                      <w:numPr>
                                        <w:ilvl w:val="0"/>
                                        <w:numId w:val="2"/>
                                      </w:numPr>
                                    </w:pPr>
                                    <w:r w:rsidRPr="00FD6AE5">
                                      <w:t>Widening educational horizons </w:t>
                                    </w:r>
                                  </w:p>
                                  <w:p w14:paraId="0ABBA510" w14:textId="77777777" w:rsidR="00FD6AE5" w:rsidRPr="00FD6AE5" w:rsidRDefault="00FD6AE5" w:rsidP="00FD6AE5">
                                    <w:r w:rsidRPr="00FD6AE5">
                                      <w:t xml:space="preserve"> Please note, </w:t>
                                    </w:r>
                                    <w:proofErr w:type="spellStart"/>
                                    <w:r w:rsidRPr="00FD6AE5">
                                      <w:t>BlueSpark</w:t>
                                    </w:r>
                                    <w:proofErr w:type="spellEnd"/>
                                    <w:r w:rsidRPr="00FD6AE5">
                                      <w:t xml:space="preserve"> provides funding for           relatively small-scale projects which might not         happen without the support of </w:t>
                                    </w:r>
                                    <w:proofErr w:type="spellStart"/>
                                    <w:r w:rsidRPr="00FD6AE5">
                                      <w:t>BlueSpark</w:t>
                                    </w:r>
                                    <w:proofErr w:type="spellEnd"/>
                                    <w:r w:rsidRPr="00FD6AE5">
                                      <w:t>.</w:t>
                                    </w:r>
                                  </w:p>
                                  <w:p w14:paraId="5BB812C1" w14:textId="77777777" w:rsidR="00FD6AE5" w:rsidRPr="00FD6AE5" w:rsidRDefault="00FD6AE5" w:rsidP="00FD6AE5">
                                    <w:r w:rsidRPr="00FD6AE5">
                                      <w:rPr>
                                        <w:b/>
                                        <w:bCs/>
                                      </w:rPr>
                                      <w:t xml:space="preserve"> No deadline, applications are reviewed on a       rolling basis at approximately </w:t>
                                    </w:r>
                                    <w:proofErr w:type="gramStart"/>
                                    <w:r w:rsidRPr="00FD6AE5">
                                      <w:rPr>
                                        <w:b/>
                                        <w:bCs/>
                                      </w:rPr>
                                      <w:t>8 week</w:t>
                                    </w:r>
                                    <w:proofErr w:type="gramEnd"/>
                                    <w:r w:rsidRPr="00FD6AE5">
                                      <w:rPr>
                                        <w:b/>
                                        <w:bCs/>
                                      </w:rPr>
                                      <w:t>                 intervals. </w:t>
                                    </w:r>
                                  </w:p>
                                </w:tc>
                              </w:tr>
                              <w:tr w:rsidR="00FD6AE5" w:rsidRPr="00FD6AE5" w14:paraId="2BBB5BF1"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507CA5F5" w14:textId="77777777">
                                      <w:trPr>
                                        <w:tblCellSpacing w:w="0" w:type="dxa"/>
                                      </w:trPr>
                                      <w:tc>
                                        <w:tcPr>
                                          <w:tcW w:w="0" w:type="auto"/>
                                          <w:shd w:val="clear" w:color="auto" w:fill="B2A2C7"/>
                                          <w:vAlign w:val="center"/>
                                          <w:hideMark/>
                                        </w:tcPr>
                                        <w:p w14:paraId="053800A0" w14:textId="77777777" w:rsidR="00FD6AE5" w:rsidRPr="00FD6AE5" w:rsidRDefault="00FD6AE5" w:rsidP="00FD6AE5">
                                          <w:hyperlink r:id="rId20" w:tgtFrame="_new" w:history="1">
                                            <w:r w:rsidRPr="00FD6AE5">
                                              <w:rPr>
                                                <w:rStyle w:val="Hyperlink"/>
                                                <w:b/>
                                                <w:bCs/>
                                              </w:rPr>
                                              <w:t>More Information</w:t>
                                            </w:r>
                                          </w:hyperlink>
                                        </w:p>
                                      </w:tc>
                                    </w:tr>
                                  </w:tbl>
                                  <w:p w14:paraId="58F78BCF" w14:textId="77777777" w:rsidR="00FD6AE5" w:rsidRPr="00FD6AE5" w:rsidRDefault="00FD6AE5" w:rsidP="00FD6AE5"/>
                                </w:tc>
                              </w:tr>
                            </w:tbl>
                            <w:p w14:paraId="4DC2FAED" w14:textId="77777777" w:rsidR="00FD6AE5" w:rsidRPr="00FD6AE5" w:rsidRDefault="00FD6AE5" w:rsidP="00FD6AE5"/>
                          </w:tc>
                        </w:tr>
                      </w:tbl>
                      <w:p w14:paraId="30331C1F" w14:textId="77777777" w:rsidR="00FD6AE5" w:rsidRPr="00FD6AE5" w:rsidRDefault="00FD6AE5" w:rsidP="00FD6AE5"/>
                    </w:tc>
                  </w:tr>
                </w:tbl>
                <w:p w14:paraId="7C7E0AE1" w14:textId="77777777" w:rsidR="00FD6AE5" w:rsidRPr="00FD6AE5" w:rsidRDefault="00FD6AE5" w:rsidP="00FD6AE5"/>
              </w:tc>
            </w:tr>
          </w:tbl>
          <w:p w14:paraId="2B9D1075" w14:textId="77777777" w:rsidR="00FD6AE5" w:rsidRPr="00FD6AE5" w:rsidRDefault="00FD6AE5" w:rsidP="00FD6AE5"/>
        </w:tc>
      </w:tr>
    </w:tbl>
    <w:p w14:paraId="169B3C24"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23B63953"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0CDE115D"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110ED8BC"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FD6AE5" w:rsidRPr="00FD6AE5" w14:paraId="17003C0B" w14:textId="77777777">
                          <w:trPr>
                            <w:tblCellSpacing w:w="0" w:type="dxa"/>
                            <w:jc w:val="center"/>
                          </w:trPr>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41027B48" w14:textId="77777777">
                                <w:tc>
                                  <w:tcPr>
                                    <w:tcW w:w="5000" w:type="pct"/>
                                    <w:tcMar>
                                      <w:top w:w="75" w:type="dxa"/>
                                      <w:left w:w="30" w:type="dxa"/>
                                      <w:bottom w:w="75" w:type="dxa"/>
                                      <w:right w:w="30" w:type="dxa"/>
                                    </w:tcMar>
                                    <w:hideMark/>
                                  </w:tcPr>
                                  <w:p w14:paraId="5C5EEEF8" w14:textId="77777777" w:rsidR="00FD6AE5" w:rsidRPr="00FD6AE5" w:rsidRDefault="00FD6AE5" w:rsidP="00FD6AE5">
                                    <w:r w:rsidRPr="00FD6AE5">
                                      <w:rPr>
                                        <w:b/>
                                        <w:bCs/>
                                      </w:rPr>
                                      <w:t>London Growth and Resilience Programme 2026</w:t>
                                    </w:r>
                                  </w:p>
                                </w:tc>
                              </w:tr>
                              <w:tr w:rsidR="00FD6AE5" w:rsidRPr="00FD6AE5" w14:paraId="1A102E90" w14:textId="77777777">
                                <w:tc>
                                  <w:tcPr>
                                    <w:tcW w:w="5000" w:type="pct"/>
                                    <w:tcMar>
                                      <w:top w:w="75" w:type="dxa"/>
                                      <w:left w:w="30" w:type="dxa"/>
                                      <w:bottom w:w="75" w:type="dxa"/>
                                      <w:right w:w="30" w:type="dxa"/>
                                    </w:tcMar>
                                    <w:hideMark/>
                                  </w:tcPr>
                                  <w:p w14:paraId="1740552C" w14:textId="77777777" w:rsidR="00FD6AE5" w:rsidRPr="00FD6AE5" w:rsidRDefault="00FD6AE5" w:rsidP="00FD6AE5">
                                    <w:r w:rsidRPr="00FD6AE5">
                                      <w:t>This opportunity from the School for Social Entrepreneurs (SSE) could benefit charities, not-for-profits or community organisations in London who want to start or grow trading and build financial resilience. </w:t>
                                    </w:r>
                                    <w:r w:rsidRPr="00FD6AE5">
                                      <w:br/>
                                    </w:r>
                                    <w:r w:rsidRPr="00FD6AE5">
                                      <w:br/>
                                      <w:t>The London Growth &amp; Resilience Programme offers 18</w:t>
                                    </w:r>
                                    <w:r w:rsidRPr="00FD6AE5">
                                      <w:noBreakHyphen/>
                                      <w:t>month support combining two grants with hands</w:t>
                                    </w:r>
                                    <w:r w:rsidRPr="00FD6AE5">
                                      <w:noBreakHyphen/>
                                      <w:t>on learning and mentoring. </w:t>
                                    </w:r>
                                    <w:r w:rsidRPr="00FD6AE5">
                                      <w:br/>
                                    </w:r>
                                    <w:r w:rsidRPr="00FD6AE5">
                                      <w:br/>
                                    </w:r>
                                    <w:r w:rsidRPr="00FD6AE5">
                                      <w:lastRenderedPageBreak/>
                                      <w:t xml:space="preserve">To be eligible, you must be a London </w:t>
                                    </w:r>
                                    <w:r w:rsidRPr="00FD6AE5">
                                      <w:br/>
                                      <w:t>based organisation, 3+ years old with a minimum of £50k income. </w:t>
                                    </w:r>
                                    <w:r w:rsidRPr="00FD6AE5">
                                      <w:br/>
                                    </w:r>
                                    <w:r w:rsidRPr="00FD6AE5">
                                      <w:br/>
                                    </w:r>
                                    <w:r w:rsidRPr="00FD6AE5">
                                      <w:rPr>
                                        <w:b/>
                                        <w:bCs/>
                                      </w:rPr>
                                      <w:t>Deadline: 12pm, 18th December 2025.</w:t>
                                    </w:r>
                                  </w:p>
                                </w:tc>
                              </w:tr>
                              <w:tr w:rsidR="00FD6AE5" w:rsidRPr="00FD6AE5" w14:paraId="7CC6833C"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47182876" w14:textId="77777777">
                                      <w:trPr>
                                        <w:tblCellSpacing w:w="0" w:type="dxa"/>
                                      </w:trPr>
                                      <w:tc>
                                        <w:tcPr>
                                          <w:tcW w:w="0" w:type="auto"/>
                                          <w:shd w:val="clear" w:color="auto" w:fill="B2A2C7"/>
                                          <w:vAlign w:val="center"/>
                                          <w:hideMark/>
                                        </w:tcPr>
                                        <w:p w14:paraId="79D6F8EA" w14:textId="77777777" w:rsidR="00FD6AE5" w:rsidRPr="00FD6AE5" w:rsidRDefault="00FD6AE5" w:rsidP="00FD6AE5">
                                          <w:hyperlink r:id="rId21" w:tgtFrame="_new" w:history="1">
                                            <w:r w:rsidRPr="00FD6AE5">
                                              <w:rPr>
                                                <w:rStyle w:val="Hyperlink"/>
                                                <w:b/>
                                                <w:bCs/>
                                              </w:rPr>
                                              <w:t>More Information</w:t>
                                            </w:r>
                                            <w:r w:rsidRPr="00FD6AE5">
                                              <w:rPr>
                                                <w:rStyle w:val="Hyperlink"/>
                                                <w:b/>
                                                <w:bCs/>
                                              </w:rPr>
                                              <w:br/>
                                            </w:r>
                                          </w:hyperlink>
                                        </w:p>
                                      </w:tc>
                                    </w:tr>
                                  </w:tbl>
                                  <w:p w14:paraId="04D50FA9" w14:textId="77777777" w:rsidR="00FD6AE5" w:rsidRPr="00FD6AE5" w:rsidRDefault="00FD6AE5" w:rsidP="00FD6AE5"/>
                                </w:tc>
                              </w:tr>
                            </w:tbl>
                            <w:p w14:paraId="66A58184" w14:textId="77777777" w:rsidR="00FD6AE5" w:rsidRPr="00FD6AE5" w:rsidRDefault="00FD6AE5" w:rsidP="00FD6AE5"/>
                          </w:tc>
                          <w:tc>
                            <w:tcPr>
                              <w:tcW w:w="4140" w:type="dxa"/>
                              <w:hideMark/>
                            </w:tcPr>
                            <w:tbl>
                              <w:tblPr>
                                <w:tblpPr w:vertAnchor="text"/>
                                <w:tblW w:w="5000" w:type="pct"/>
                                <w:tblCellMar>
                                  <w:left w:w="0" w:type="dxa"/>
                                  <w:right w:w="0" w:type="dxa"/>
                                </w:tblCellMar>
                                <w:tblLook w:val="04A0" w:firstRow="1" w:lastRow="0" w:firstColumn="1" w:lastColumn="0" w:noHBand="0" w:noVBand="1"/>
                              </w:tblPr>
                              <w:tblGrid>
                                <w:gridCol w:w="4140"/>
                              </w:tblGrid>
                              <w:tr w:rsidR="00FD6AE5" w:rsidRPr="00FD6AE5" w14:paraId="5856DE2C" w14:textId="77777777">
                                <w:tc>
                                  <w:tcPr>
                                    <w:tcW w:w="5000" w:type="pct"/>
                                    <w:tcMar>
                                      <w:top w:w="75" w:type="dxa"/>
                                      <w:left w:w="30" w:type="dxa"/>
                                      <w:bottom w:w="75" w:type="dxa"/>
                                      <w:right w:w="30" w:type="dxa"/>
                                    </w:tcMar>
                                    <w:hideMark/>
                                  </w:tcPr>
                                  <w:p w14:paraId="7666945E" w14:textId="77777777" w:rsidR="00FD6AE5" w:rsidRPr="00FD6AE5" w:rsidRDefault="00FD6AE5" w:rsidP="00FD6AE5">
                                    <w:r w:rsidRPr="00FD6AE5">
                                      <w:rPr>
                                        <w:b/>
                                        <w:bCs/>
                                      </w:rPr>
                                      <w:lastRenderedPageBreak/>
                                      <w:t>The Radcliffe Trust</w:t>
                                    </w:r>
                                  </w:p>
                                </w:tc>
                              </w:tr>
                              <w:tr w:rsidR="00FD6AE5" w:rsidRPr="00FD6AE5" w14:paraId="71FA5079" w14:textId="77777777">
                                <w:tc>
                                  <w:tcPr>
                                    <w:tcW w:w="5000" w:type="pct"/>
                                    <w:tcMar>
                                      <w:top w:w="75" w:type="dxa"/>
                                      <w:left w:w="30" w:type="dxa"/>
                                      <w:bottom w:w="75" w:type="dxa"/>
                                      <w:right w:w="30" w:type="dxa"/>
                                    </w:tcMar>
                                    <w:hideMark/>
                                  </w:tcPr>
                                  <w:p w14:paraId="179619ED" w14:textId="77777777" w:rsidR="00FD6AE5" w:rsidRPr="00FD6AE5" w:rsidRDefault="00FD6AE5" w:rsidP="00FD6AE5">
                                    <w:r w:rsidRPr="00FD6AE5">
                                      <w:t> Radcliffe Trust is offering grants between £2,500     and £7,500 for charities, not-for-profit groups           across the UK to support   projects in the areas       of music or heritage and crafts.</w:t>
                                    </w:r>
                                  </w:p>
                                  <w:p w14:paraId="746D47B3" w14:textId="77777777" w:rsidR="00FD6AE5" w:rsidRPr="00FD6AE5" w:rsidRDefault="00FD6AE5" w:rsidP="00FD6AE5">
                                    <w:r w:rsidRPr="00FD6AE5">
                                      <w:t xml:space="preserve"> The Trust supports the development of </w:t>
                                    </w:r>
                                    <w:proofErr w:type="gramStart"/>
                                    <w:r w:rsidRPr="00FD6AE5">
                                      <w:t>skills,   </w:t>
                                    </w:r>
                                    <w:proofErr w:type="gramEnd"/>
                                    <w:r w:rsidRPr="00FD6AE5">
                                      <w:t xml:space="preserve">        knowledge, and experience in the UK’s                   traditional heritage and crafts sectors, including:                          </w:t>
                                    </w:r>
                                    <w:r w:rsidRPr="00FD6AE5">
                                      <w:br/>
                                      <w:t> • Emerging craftspeople</w:t>
                                    </w:r>
                                    <w:r w:rsidRPr="00FD6AE5">
                                      <w:br/>
                                      <w:t> • Craft and conservation training and   projects</w:t>
                                    </w:r>
                                    <w:r w:rsidRPr="00FD6AE5">
                                      <w:br/>
                                    </w:r>
                                    <w:r w:rsidRPr="00FD6AE5">
                                      <w:lastRenderedPageBreak/>
                                      <w:t> • Creative work by designer-makers</w:t>
                                    </w:r>
                                    <w:r w:rsidRPr="00FD6AE5">
                                      <w:br/>
                                      <w:t> • Capacity-building initiatives</w:t>
                                    </w:r>
                                    <w:r w:rsidRPr="00FD6AE5">
                                      <w:br/>
                                      <w:t> • Therapeutic projects focused on skills   development.</w:t>
                                    </w:r>
                                  </w:p>
                                  <w:p w14:paraId="1F649D7C" w14:textId="77777777" w:rsidR="00FD6AE5" w:rsidRPr="00FD6AE5" w:rsidRDefault="00FD6AE5" w:rsidP="00FD6AE5">
                                    <w:r w:rsidRPr="00FD6AE5">
                                      <w:rPr>
                                        <w:b/>
                                        <w:bCs/>
                                      </w:rPr>
                                      <w:t>   Deadline: 31st January 2026.</w:t>
                                    </w:r>
                                  </w:p>
                                </w:tc>
                              </w:tr>
                              <w:tr w:rsidR="00FD6AE5" w:rsidRPr="00FD6AE5" w14:paraId="0B71FFEF" w14:textId="77777777">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0AAEB29E" w14:textId="77777777">
                                      <w:trPr>
                                        <w:tblCellSpacing w:w="0" w:type="dxa"/>
                                      </w:trPr>
                                      <w:tc>
                                        <w:tcPr>
                                          <w:tcW w:w="0" w:type="auto"/>
                                          <w:shd w:val="clear" w:color="auto" w:fill="B2A2C7"/>
                                          <w:vAlign w:val="center"/>
                                          <w:hideMark/>
                                        </w:tcPr>
                                        <w:p w14:paraId="2AEE152A" w14:textId="77777777" w:rsidR="00FD6AE5" w:rsidRPr="00FD6AE5" w:rsidRDefault="00FD6AE5" w:rsidP="00FD6AE5">
                                          <w:hyperlink r:id="rId22" w:tgtFrame="_new" w:history="1">
                                            <w:r w:rsidRPr="00FD6AE5">
                                              <w:rPr>
                                                <w:rStyle w:val="Hyperlink"/>
                                                <w:b/>
                                                <w:bCs/>
                                              </w:rPr>
                                              <w:t>More Information</w:t>
                                            </w:r>
                                          </w:hyperlink>
                                        </w:p>
                                      </w:tc>
                                    </w:tr>
                                  </w:tbl>
                                  <w:p w14:paraId="6B072060" w14:textId="77777777" w:rsidR="00FD6AE5" w:rsidRPr="00FD6AE5" w:rsidRDefault="00FD6AE5" w:rsidP="00FD6AE5"/>
                                </w:tc>
                              </w:tr>
                            </w:tbl>
                            <w:p w14:paraId="2F742D72" w14:textId="77777777" w:rsidR="00FD6AE5" w:rsidRPr="00FD6AE5" w:rsidRDefault="00FD6AE5" w:rsidP="00FD6AE5"/>
                          </w:tc>
                        </w:tr>
                      </w:tbl>
                      <w:p w14:paraId="7F0C2C5D" w14:textId="77777777" w:rsidR="00FD6AE5" w:rsidRPr="00FD6AE5" w:rsidRDefault="00FD6AE5" w:rsidP="00FD6AE5"/>
                    </w:tc>
                  </w:tr>
                </w:tbl>
                <w:p w14:paraId="019D5BF9" w14:textId="77777777" w:rsidR="00FD6AE5" w:rsidRPr="00FD6AE5" w:rsidRDefault="00FD6AE5" w:rsidP="00FD6AE5"/>
              </w:tc>
            </w:tr>
          </w:tbl>
          <w:p w14:paraId="3E4CCF37" w14:textId="77777777" w:rsidR="00FD6AE5" w:rsidRPr="00FD6AE5" w:rsidRDefault="00FD6AE5" w:rsidP="00FD6AE5"/>
        </w:tc>
      </w:tr>
    </w:tbl>
    <w:p w14:paraId="20C1FA20"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5317C475"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0DEAEF0E"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6C36FF27" w14:textId="77777777">
                    <w:trPr>
                      <w:jc w:val="center"/>
                    </w:trPr>
                    <w:tc>
                      <w:tcPr>
                        <w:tcW w:w="0" w:type="auto"/>
                        <w:shd w:val="clear" w:color="auto" w:fill="FFFFFF"/>
                        <w:tcMar>
                          <w:top w:w="150"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FD6AE5" w:rsidRPr="00FD6AE5" w14:paraId="7D086568" w14:textId="77777777">
                          <w:trPr>
                            <w:jc w:val="center"/>
                          </w:trPr>
                          <w:tc>
                            <w:tcPr>
                              <w:tcW w:w="5000" w:type="pct"/>
                              <w:tcMar>
                                <w:top w:w="75" w:type="dxa"/>
                                <w:left w:w="30" w:type="dxa"/>
                                <w:bottom w:w="75" w:type="dxa"/>
                                <w:right w:w="30" w:type="dxa"/>
                              </w:tcMar>
                              <w:hideMark/>
                            </w:tcPr>
                            <w:p w14:paraId="4CA5505A" w14:textId="77777777" w:rsidR="00FD6AE5" w:rsidRPr="00FD6AE5" w:rsidRDefault="00FD6AE5" w:rsidP="00FD6AE5">
                              <w:r w:rsidRPr="00FD6AE5">
                                <w:rPr>
                                  <w:b/>
                                  <w:bCs/>
                                </w:rPr>
                                <w:t>#iwill Fund 2025</w:t>
                              </w:r>
                            </w:p>
                          </w:tc>
                        </w:tr>
                      </w:tbl>
                      <w:p w14:paraId="46274962" w14:textId="77777777" w:rsidR="00FD6AE5" w:rsidRPr="00FD6AE5" w:rsidRDefault="00FD6AE5" w:rsidP="00FD6AE5"/>
                    </w:tc>
                  </w:tr>
                </w:tbl>
                <w:p w14:paraId="14E7711C" w14:textId="77777777" w:rsidR="00FD6AE5" w:rsidRPr="00FD6AE5" w:rsidRDefault="00FD6AE5" w:rsidP="00FD6AE5"/>
              </w:tc>
            </w:tr>
          </w:tbl>
          <w:p w14:paraId="08E1A230" w14:textId="77777777" w:rsidR="00FD6AE5" w:rsidRPr="00FD6AE5" w:rsidRDefault="00FD6AE5" w:rsidP="00FD6AE5"/>
        </w:tc>
      </w:tr>
    </w:tbl>
    <w:p w14:paraId="51D89F1C"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45F51DED"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26EDA951"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552CA274" w14:textId="77777777">
                    <w:trPr>
                      <w:jc w:val="center"/>
                    </w:trPr>
                    <w:tc>
                      <w:tcPr>
                        <w:tcW w:w="0" w:type="auto"/>
                        <w:shd w:val="clear" w:color="auto" w:fill="FFFFFF"/>
                        <w:tcMar>
                          <w:top w:w="0"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FD6AE5" w:rsidRPr="00FD6AE5" w14:paraId="49B7F52D" w14:textId="77777777">
                          <w:trPr>
                            <w:jc w:val="center"/>
                          </w:trPr>
                          <w:tc>
                            <w:tcPr>
                              <w:tcW w:w="5000" w:type="pct"/>
                              <w:tcMar>
                                <w:top w:w="75" w:type="dxa"/>
                                <w:left w:w="30" w:type="dxa"/>
                                <w:bottom w:w="75" w:type="dxa"/>
                                <w:right w:w="30" w:type="dxa"/>
                              </w:tcMar>
                              <w:hideMark/>
                            </w:tcPr>
                            <w:p w14:paraId="7E5CD082" w14:textId="77777777" w:rsidR="00FD6AE5" w:rsidRPr="00FD6AE5" w:rsidRDefault="00FD6AE5" w:rsidP="00FD6AE5">
                              <w:r w:rsidRPr="00FD6AE5">
                                <w:t xml:space="preserve">This funding is for work that helps young people up to 20 years old, or up to 25 if they have additional support needs in England address the issues that matter most to them and their community. </w:t>
                              </w:r>
                              <w:r w:rsidRPr="00FD6AE5">
                                <w:br/>
                                <w:t>The funder calls this youth social action.</w:t>
                              </w:r>
                              <w:r w:rsidRPr="00FD6AE5">
                                <w:br/>
                              </w:r>
                              <w:r w:rsidRPr="00FD6AE5">
                                <w:br/>
                                <w:t xml:space="preserve">You can apply if you are a </w:t>
                              </w:r>
                              <w:proofErr w:type="gramStart"/>
                              <w:r w:rsidRPr="00FD6AE5">
                                <w:t>funder, and</w:t>
                              </w:r>
                              <w:proofErr w:type="gramEnd"/>
                              <w:r w:rsidRPr="00FD6AE5">
                                <w:t xml:space="preserve"> want to use this money to give out funding to others. Or you can apply to run activities directly with young people.</w:t>
                              </w:r>
                              <w:r w:rsidRPr="00FD6AE5">
                                <w:br/>
                              </w:r>
                              <w:r w:rsidRPr="00FD6AE5">
                                <w:br/>
                              </w:r>
                              <w:r w:rsidRPr="00FD6AE5">
                                <w:rPr>
                                  <w:b/>
                                  <w:bCs/>
                                </w:rPr>
                                <w:t>Deadline: 12pm, 19th November 2025.</w:t>
                              </w:r>
                            </w:p>
                          </w:tc>
                        </w:tr>
                      </w:tbl>
                      <w:p w14:paraId="31459332" w14:textId="77777777" w:rsidR="00FD6AE5" w:rsidRPr="00FD6AE5" w:rsidRDefault="00FD6AE5" w:rsidP="00FD6AE5"/>
                    </w:tc>
                  </w:tr>
                </w:tbl>
                <w:p w14:paraId="2C612C4F" w14:textId="77777777" w:rsidR="00FD6AE5" w:rsidRPr="00FD6AE5" w:rsidRDefault="00FD6AE5" w:rsidP="00FD6AE5"/>
              </w:tc>
            </w:tr>
          </w:tbl>
          <w:p w14:paraId="0685615F" w14:textId="77777777" w:rsidR="00FD6AE5" w:rsidRPr="00FD6AE5" w:rsidRDefault="00FD6AE5" w:rsidP="00FD6AE5"/>
        </w:tc>
      </w:tr>
    </w:tbl>
    <w:p w14:paraId="6789F193"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27671205"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4396F8A7"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54202B9D" w14:textId="77777777">
                    <w:trPr>
                      <w:jc w:val="center"/>
                    </w:trPr>
                    <w:tc>
                      <w:tcPr>
                        <w:tcW w:w="0" w:type="auto"/>
                        <w:shd w:val="clear" w:color="auto" w:fill="FFFFFF"/>
                        <w:tcMar>
                          <w:top w:w="90" w:type="dxa"/>
                          <w:left w:w="135" w:type="dxa"/>
                          <w:bottom w:w="9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FD6AE5" w:rsidRPr="00FD6AE5" w14:paraId="270BDF09" w14:textId="77777777">
                          <w:trPr>
                            <w:jc w:val="center"/>
                          </w:trPr>
                          <w:tc>
                            <w:tcPr>
                              <w:tcW w:w="0" w:type="auto"/>
                              <w:tcMar>
                                <w:top w:w="75" w:type="dxa"/>
                                <w:left w:w="30" w:type="dxa"/>
                                <w:bottom w:w="75"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18B8CBCA" w14:textId="77777777">
                                <w:trPr>
                                  <w:tblCellSpacing w:w="0" w:type="dxa"/>
                                  <w:jc w:val="center"/>
                                </w:trPr>
                                <w:tc>
                                  <w:tcPr>
                                    <w:tcW w:w="0" w:type="auto"/>
                                    <w:shd w:val="clear" w:color="auto" w:fill="B2A2C7"/>
                                    <w:vAlign w:val="center"/>
                                    <w:hideMark/>
                                  </w:tcPr>
                                  <w:p w14:paraId="3205847F" w14:textId="77777777" w:rsidR="00FD6AE5" w:rsidRPr="00FD6AE5" w:rsidRDefault="00FD6AE5" w:rsidP="00FD6AE5">
                                    <w:hyperlink r:id="rId23" w:tgtFrame="_new" w:history="1">
                                      <w:r w:rsidRPr="00FD6AE5">
                                        <w:rPr>
                                          <w:rStyle w:val="Hyperlink"/>
                                          <w:b/>
                                          <w:bCs/>
                                        </w:rPr>
                                        <w:t>More Information</w:t>
                                      </w:r>
                                    </w:hyperlink>
                                  </w:p>
                                </w:tc>
                              </w:tr>
                            </w:tbl>
                            <w:p w14:paraId="046EBB16" w14:textId="77777777" w:rsidR="00FD6AE5" w:rsidRPr="00FD6AE5" w:rsidRDefault="00FD6AE5" w:rsidP="00FD6AE5"/>
                          </w:tc>
                        </w:tr>
                      </w:tbl>
                      <w:p w14:paraId="0D781DE9" w14:textId="77777777" w:rsidR="00FD6AE5" w:rsidRPr="00FD6AE5" w:rsidRDefault="00FD6AE5" w:rsidP="00FD6AE5"/>
                    </w:tc>
                  </w:tr>
                </w:tbl>
                <w:p w14:paraId="71361A2C" w14:textId="77777777" w:rsidR="00FD6AE5" w:rsidRPr="00FD6AE5" w:rsidRDefault="00FD6AE5" w:rsidP="00FD6AE5"/>
              </w:tc>
            </w:tr>
          </w:tbl>
          <w:p w14:paraId="11CE0373" w14:textId="77777777" w:rsidR="00FD6AE5" w:rsidRPr="00FD6AE5" w:rsidRDefault="00FD6AE5" w:rsidP="00FD6AE5"/>
        </w:tc>
      </w:tr>
    </w:tbl>
    <w:p w14:paraId="382B08FB" w14:textId="77777777" w:rsidR="00FD6AE5" w:rsidRPr="00FD6AE5" w:rsidRDefault="00FD6AE5" w:rsidP="00FD6AE5">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D6AE5" w:rsidRPr="00FD6AE5" w14:paraId="6EA28968"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FD6AE5" w:rsidRPr="00FD6AE5" w14:paraId="045C6EC3"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FD6AE5" w:rsidRPr="00FD6AE5" w14:paraId="56CD12BB" w14:textId="77777777">
                    <w:trPr>
                      <w:jc w:val="center"/>
                    </w:trPr>
                    <w:tc>
                      <w:tcPr>
                        <w:tcW w:w="0" w:type="auto"/>
                        <w:shd w:val="clear" w:color="auto" w:fill="FFFFFF"/>
                        <w:tcMar>
                          <w:top w:w="0"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FD6AE5" w:rsidRPr="00FD6AE5" w14:paraId="517352B4" w14:textId="77777777">
                          <w:trPr>
                            <w:jc w:val="center"/>
                          </w:trPr>
                          <w:tc>
                            <w:tcPr>
                              <w:tcW w:w="5000" w:type="pct"/>
                              <w:tcMar>
                                <w:top w:w="75" w:type="dxa"/>
                                <w:left w:w="30" w:type="dxa"/>
                                <w:bottom w:w="195" w:type="dxa"/>
                                <w:right w:w="30" w:type="dxa"/>
                              </w:tcMar>
                              <w:hideMark/>
                            </w:tcPr>
                            <w:p w14:paraId="660463BE" w14:textId="5DE12250" w:rsidR="00FD6AE5" w:rsidRPr="00FD6AE5" w:rsidRDefault="00FD6AE5" w:rsidP="00FD6AE5">
                              <w:r w:rsidRPr="00FD6AE5">
                                <w:lastRenderedPageBreak/>
                                <w:drawing>
                                  <wp:inline distT="0" distB="0" distL="0" distR="0" wp14:anchorId="679D9DC1" wp14:editId="223E0C56">
                                    <wp:extent cx="5219700" cy="5219700"/>
                                    <wp:effectExtent l="0" t="0" r="0" b="0"/>
                                    <wp:docPr id="1420894158" name="Picture 3" descr="A poster of hands holding white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4158" name="Picture 3" descr="A poster of hands holding white heart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5219700"/>
                                            </a:xfrm>
                                            <a:prstGeom prst="rect">
                                              <a:avLst/>
                                            </a:prstGeom>
                                            <a:noFill/>
                                            <a:ln>
                                              <a:noFill/>
                                            </a:ln>
                                          </pic:spPr>
                                        </pic:pic>
                                      </a:graphicData>
                                    </a:graphic>
                                  </wp:inline>
                                </w:drawing>
                              </w:r>
                            </w:p>
                          </w:tc>
                        </w:tr>
                        <w:tr w:rsidR="00FD6AE5" w:rsidRPr="00FD6AE5" w14:paraId="1FAE7991" w14:textId="77777777">
                          <w:trPr>
                            <w:jc w:val="center"/>
                          </w:trPr>
                          <w:tc>
                            <w:tcPr>
                              <w:tcW w:w="5000" w:type="pct"/>
                              <w:tcMar>
                                <w:top w:w="75" w:type="dxa"/>
                                <w:left w:w="30" w:type="dxa"/>
                                <w:bottom w:w="75" w:type="dxa"/>
                                <w:right w:w="30" w:type="dxa"/>
                              </w:tcMar>
                              <w:hideMark/>
                            </w:tcPr>
                            <w:p w14:paraId="5038A5B2" w14:textId="77777777" w:rsidR="00FD6AE5" w:rsidRPr="00FD6AE5" w:rsidRDefault="00FD6AE5" w:rsidP="00FD6AE5">
                              <w:r w:rsidRPr="00FD6AE5">
                                <w:t>London Resilient Communities is a London Resilience funded programme that supports the capital’s voluntary, community and faith sectors to be more resilient in the face of emergencies.</w:t>
                              </w:r>
                              <w:r w:rsidRPr="00FD6AE5">
                                <w:br/>
                              </w:r>
                              <w:r w:rsidRPr="00FD6AE5">
                                <w:br/>
                                <w:t>There are two grants available:</w:t>
                              </w:r>
                            </w:p>
                            <w:p w14:paraId="2839837E" w14:textId="77777777" w:rsidR="00FD6AE5" w:rsidRPr="00FD6AE5" w:rsidRDefault="00FD6AE5" w:rsidP="00FD6AE5">
                              <w:pPr>
                                <w:numPr>
                                  <w:ilvl w:val="0"/>
                                  <w:numId w:val="3"/>
                                </w:numPr>
                              </w:pPr>
                              <w:r w:rsidRPr="00FD6AE5">
                                <w:t>Developing Community Emergency Plan: £500</w:t>
                              </w:r>
                            </w:p>
                            <w:p w14:paraId="41764CD8" w14:textId="77777777" w:rsidR="00FD6AE5" w:rsidRPr="00FD6AE5" w:rsidRDefault="00FD6AE5" w:rsidP="00FD6AE5">
                              <w:pPr>
                                <w:numPr>
                                  <w:ilvl w:val="0"/>
                                  <w:numId w:val="3"/>
                                </w:numPr>
                              </w:pPr>
                              <w:r w:rsidRPr="00FD6AE5">
                                <w:t>Becoming a Community Resilience Hub: £1,000</w:t>
                              </w:r>
                            </w:p>
                            <w:p w14:paraId="726ECCAA" w14:textId="77777777" w:rsidR="00FD6AE5" w:rsidRPr="00FD6AE5" w:rsidRDefault="00FD6AE5" w:rsidP="00FD6AE5">
                              <w:r w:rsidRPr="00FD6AE5">
                                <w:t xml:space="preserve">Successful applicants will also have access to a series of online sessions providing further expert support, and the opportunity to network with their fellow grantees. Attached to each grant is a specific set of required actions, which approved grantees will need to complete </w:t>
                              </w:r>
                              <w:proofErr w:type="gramStart"/>
                              <w:r w:rsidRPr="00FD6AE5">
                                <w:t>in order for</w:t>
                              </w:r>
                              <w:proofErr w:type="gramEnd"/>
                              <w:r w:rsidRPr="00FD6AE5">
                                <w:t xml:space="preserve"> them to receive the grant.</w:t>
                              </w:r>
                              <w:r w:rsidRPr="00FD6AE5">
                                <w:br/>
                              </w:r>
                              <w:r w:rsidRPr="00FD6AE5">
                                <w:br/>
                              </w:r>
                              <w:r w:rsidRPr="00FD6AE5">
                                <w:rPr>
                                  <w:b/>
                                  <w:bCs/>
                                </w:rPr>
                                <w:t>Deadline: 5pm, 10th December 2025.</w:t>
                              </w:r>
                            </w:p>
                          </w:tc>
                        </w:tr>
                        <w:tr w:rsidR="00FD6AE5" w:rsidRPr="00FD6AE5" w14:paraId="35D3DDAF" w14:textId="77777777">
                          <w:trPr>
                            <w:jc w:val="center"/>
                          </w:trPr>
                          <w:tc>
                            <w:tcPr>
                              <w:tcW w:w="0" w:type="auto"/>
                              <w:tcMar>
                                <w:top w:w="75" w:type="dxa"/>
                                <w:left w:w="30" w:type="dxa"/>
                                <w:bottom w:w="75" w:type="dxa"/>
                                <w:right w:w="30" w:type="dxa"/>
                              </w:tcMar>
                              <w:hideMark/>
                            </w:tcPr>
                            <w:tbl>
                              <w:tblPr>
                                <w:tblpPr w:topFromText="30" w:vertAnchor="text"/>
                                <w:tblW w:w="0" w:type="auto"/>
                                <w:tblCellSpacing w:w="0" w:type="dxa"/>
                                <w:tblCellMar>
                                  <w:top w:w="90" w:type="dxa"/>
                                  <w:left w:w="270" w:type="dxa"/>
                                  <w:bottom w:w="90" w:type="dxa"/>
                                  <w:right w:w="270" w:type="dxa"/>
                                </w:tblCellMar>
                                <w:tblLook w:val="04A0" w:firstRow="1" w:lastRow="0" w:firstColumn="1" w:lastColumn="0" w:noHBand="0" w:noVBand="1"/>
                              </w:tblPr>
                              <w:tblGrid>
                                <w:gridCol w:w="2271"/>
                              </w:tblGrid>
                              <w:tr w:rsidR="00FD6AE5" w:rsidRPr="00FD6AE5" w14:paraId="08EA2477" w14:textId="77777777">
                                <w:trPr>
                                  <w:tblCellSpacing w:w="0" w:type="dxa"/>
                                </w:trPr>
                                <w:tc>
                                  <w:tcPr>
                                    <w:tcW w:w="0" w:type="auto"/>
                                    <w:shd w:val="clear" w:color="auto" w:fill="B2A2C7"/>
                                    <w:vAlign w:val="center"/>
                                    <w:hideMark/>
                                  </w:tcPr>
                                  <w:p w14:paraId="037A610F" w14:textId="77777777" w:rsidR="00FD6AE5" w:rsidRPr="00FD6AE5" w:rsidRDefault="00FD6AE5" w:rsidP="00FD6AE5">
                                    <w:hyperlink r:id="rId25" w:tgtFrame="_new" w:history="1">
                                      <w:r w:rsidRPr="00FD6AE5">
                                        <w:rPr>
                                          <w:rStyle w:val="Hyperlink"/>
                                          <w:b/>
                                          <w:bCs/>
                                        </w:rPr>
                                        <w:t>More Information</w:t>
                                      </w:r>
                                    </w:hyperlink>
                                  </w:p>
                                </w:tc>
                              </w:tr>
                            </w:tbl>
                            <w:p w14:paraId="19859C8F" w14:textId="77777777" w:rsidR="00FD6AE5" w:rsidRPr="00FD6AE5" w:rsidRDefault="00FD6AE5" w:rsidP="00FD6AE5"/>
                          </w:tc>
                        </w:tr>
                      </w:tbl>
                      <w:p w14:paraId="1BEC6435" w14:textId="77777777" w:rsidR="00FD6AE5" w:rsidRPr="00FD6AE5" w:rsidRDefault="00FD6AE5" w:rsidP="00FD6AE5"/>
                    </w:tc>
                  </w:tr>
                </w:tbl>
                <w:p w14:paraId="145462BB" w14:textId="77777777" w:rsidR="00FD6AE5" w:rsidRPr="00FD6AE5" w:rsidRDefault="00FD6AE5" w:rsidP="00FD6AE5"/>
              </w:tc>
            </w:tr>
          </w:tbl>
          <w:p w14:paraId="6911E59C" w14:textId="77777777" w:rsidR="00FD6AE5" w:rsidRPr="00FD6AE5" w:rsidRDefault="00FD6AE5" w:rsidP="00FD6AE5"/>
        </w:tc>
      </w:tr>
    </w:tbl>
    <w:p w14:paraId="1F4D312D" w14:textId="77777777" w:rsidR="007333F9" w:rsidRDefault="007333F9"/>
    <w:sectPr w:rsidR="0073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4C77"/>
    <w:multiLevelType w:val="multilevel"/>
    <w:tmpl w:val="6354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21B46"/>
    <w:multiLevelType w:val="multilevel"/>
    <w:tmpl w:val="0188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158AF"/>
    <w:multiLevelType w:val="multilevel"/>
    <w:tmpl w:val="17987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04794">
    <w:abstractNumId w:val="2"/>
    <w:lvlOverride w:ilvl="0"/>
    <w:lvlOverride w:ilvl="1"/>
    <w:lvlOverride w:ilvl="2"/>
    <w:lvlOverride w:ilvl="3"/>
    <w:lvlOverride w:ilvl="4"/>
    <w:lvlOverride w:ilvl="5"/>
    <w:lvlOverride w:ilvl="6"/>
    <w:lvlOverride w:ilvl="7"/>
    <w:lvlOverride w:ilvl="8"/>
  </w:num>
  <w:num w:numId="2" w16cid:durableId="2127920981">
    <w:abstractNumId w:val="0"/>
    <w:lvlOverride w:ilvl="0"/>
    <w:lvlOverride w:ilvl="1"/>
    <w:lvlOverride w:ilvl="2"/>
    <w:lvlOverride w:ilvl="3"/>
    <w:lvlOverride w:ilvl="4"/>
    <w:lvlOverride w:ilvl="5"/>
    <w:lvlOverride w:ilvl="6"/>
    <w:lvlOverride w:ilvl="7"/>
    <w:lvlOverride w:ilvl="8"/>
  </w:num>
  <w:num w:numId="3" w16cid:durableId="67858028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E5"/>
    <w:rsid w:val="007333F9"/>
    <w:rsid w:val="00A35664"/>
    <w:rsid w:val="00FD6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F441"/>
  <w15:chartTrackingRefBased/>
  <w15:docId w15:val="{4B17D2CB-ABD6-4E70-8013-3C6DC95E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AE5"/>
    <w:rPr>
      <w:rFonts w:eastAsiaTheme="majorEastAsia" w:cstheme="majorBidi"/>
      <w:color w:val="272727" w:themeColor="text1" w:themeTint="D8"/>
    </w:rPr>
  </w:style>
  <w:style w:type="paragraph" w:styleId="Title">
    <w:name w:val="Title"/>
    <w:basedOn w:val="Normal"/>
    <w:next w:val="Normal"/>
    <w:link w:val="TitleChar"/>
    <w:uiPriority w:val="10"/>
    <w:qFormat/>
    <w:rsid w:val="00FD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AE5"/>
    <w:pPr>
      <w:spacing w:before="160"/>
      <w:jc w:val="center"/>
    </w:pPr>
    <w:rPr>
      <w:i/>
      <w:iCs/>
      <w:color w:val="404040" w:themeColor="text1" w:themeTint="BF"/>
    </w:rPr>
  </w:style>
  <w:style w:type="character" w:customStyle="1" w:styleId="QuoteChar">
    <w:name w:val="Quote Char"/>
    <w:basedOn w:val="DefaultParagraphFont"/>
    <w:link w:val="Quote"/>
    <w:uiPriority w:val="29"/>
    <w:rsid w:val="00FD6AE5"/>
    <w:rPr>
      <w:i/>
      <w:iCs/>
      <w:color w:val="404040" w:themeColor="text1" w:themeTint="BF"/>
    </w:rPr>
  </w:style>
  <w:style w:type="paragraph" w:styleId="ListParagraph">
    <w:name w:val="List Paragraph"/>
    <w:basedOn w:val="Normal"/>
    <w:uiPriority w:val="34"/>
    <w:qFormat/>
    <w:rsid w:val="00FD6AE5"/>
    <w:pPr>
      <w:ind w:left="720"/>
      <w:contextualSpacing/>
    </w:pPr>
  </w:style>
  <w:style w:type="character" w:styleId="IntenseEmphasis">
    <w:name w:val="Intense Emphasis"/>
    <w:basedOn w:val="DefaultParagraphFont"/>
    <w:uiPriority w:val="21"/>
    <w:qFormat/>
    <w:rsid w:val="00FD6AE5"/>
    <w:rPr>
      <w:i/>
      <w:iCs/>
      <w:color w:val="0F4761" w:themeColor="accent1" w:themeShade="BF"/>
    </w:rPr>
  </w:style>
  <w:style w:type="paragraph" w:styleId="IntenseQuote">
    <w:name w:val="Intense Quote"/>
    <w:basedOn w:val="Normal"/>
    <w:next w:val="Normal"/>
    <w:link w:val="IntenseQuoteChar"/>
    <w:uiPriority w:val="30"/>
    <w:qFormat/>
    <w:rsid w:val="00FD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AE5"/>
    <w:rPr>
      <w:i/>
      <w:iCs/>
      <w:color w:val="0F4761" w:themeColor="accent1" w:themeShade="BF"/>
    </w:rPr>
  </w:style>
  <w:style w:type="character" w:styleId="IntenseReference">
    <w:name w:val="Intense Reference"/>
    <w:basedOn w:val="DefaultParagraphFont"/>
    <w:uiPriority w:val="32"/>
    <w:qFormat/>
    <w:rsid w:val="00FD6AE5"/>
    <w:rPr>
      <w:b/>
      <w:bCs/>
      <w:smallCaps/>
      <w:color w:val="0F4761" w:themeColor="accent1" w:themeShade="BF"/>
      <w:spacing w:val="5"/>
    </w:rPr>
  </w:style>
  <w:style w:type="character" w:styleId="Hyperlink">
    <w:name w:val="Hyperlink"/>
    <w:basedOn w:val="DefaultParagraphFont"/>
    <w:uiPriority w:val="99"/>
    <w:unhideWhenUsed/>
    <w:rsid w:val="00FD6AE5"/>
    <w:rPr>
      <w:color w:val="467886" w:themeColor="hyperlink"/>
      <w:u w:val="single"/>
    </w:rPr>
  </w:style>
  <w:style w:type="character" w:styleId="UnresolvedMention">
    <w:name w:val="Unresolved Mention"/>
    <w:basedOn w:val="DefaultParagraphFont"/>
    <w:uiPriority w:val="99"/>
    <w:semiHidden/>
    <w:unhideWhenUsed/>
    <w:rsid w:val="00FD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sc.co.uk/civicrm/mailing/url?u=15276&amp;qid=775174" TargetMode="External"/><Relationship Id="rId13" Type="http://schemas.openxmlformats.org/officeDocument/2006/relationships/hyperlink" Target="https://www.bvsc.co.uk/civicrm/mailing/url?u=15281&amp;qid=775174" TargetMode="External"/><Relationship Id="rId18" Type="http://schemas.openxmlformats.org/officeDocument/2006/relationships/hyperlink" Target="https://www.bvsc.co.uk/civicrm/mailing/url?u=15302&amp;qid=77517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vsc.co.uk/civicrm/mailing/url?u=15330&amp;qid=775174" TargetMode="External"/><Relationship Id="rId7" Type="http://schemas.openxmlformats.org/officeDocument/2006/relationships/hyperlink" Target="https://www.bvsc.co.uk/civicrm/mailing/url?u=15275&amp;qid=775174" TargetMode="External"/><Relationship Id="rId12" Type="http://schemas.openxmlformats.org/officeDocument/2006/relationships/hyperlink" Target="https://www.bvsc.co.uk/civicrm/mailing/url?u=15280&amp;qid=775174" TargetMode="External"/><Relationship Id="rId17" Type="http://schemas.openxmlformats.org/officeDocument/2006/relationships/hyperlink" Target="https://www.bvsc.co.uk/civicrm/mailing/url?u=15301&amp;qid=775174" TargetMode="External"/><Relationship Id="rId25" Type="http://schemas.openxmlformats.org/officeDocument/2006/relationships/hyperlink" Target="https://www.bvsc.co.uk/civicrm/mailing/url?u=15333&amp;qid=775174" TargetMode="External"/><Relationship Id="rId2" Type="http://schemas.openxmlformats.org/officeDocument/2006/relationships/styles" Target="styles.xml"/><Relationship Id="rId16" Type="http://schemas.openxmlformats.org/officeDocument/2006/relationships/hyperlink" Target="https://www.bvsc.co.uk/civicrm/mailing/url?u=15300&amp;qid=775174" TargetMode="External"/><Relationship Id="rId20" Type="http://schemas.openxmlformats.org/officeDocument/2006/relationships/hyperlink" Target="https://www.bvsc.co.uk/civicrm/mailing/url?u=15304&amp;qid=775174" TargetMode="External"/><Relationship Id="rId1" Type="http://schemas.openxmlformats.org/officeDocument/2006/relationships/numbering" Target="numbering.xml"/><Relationship Id="rId6" Type="http://schemas.openxmlformats.org/officeDocument/2006/relationships/hyperlink" Target="https://www.bvsc.co.uk/civicrm/mailing/url?u=15274&amp;qid=775174" TargetMode="External"/><Relationship Id="rId11" Type="http://schemas.openxmlformats.org/officeDocument/2006/relationships/hyperlink" Target="https://www.bvsc.co.uk/civicrm/mailing/url?u=15279&amp;qid=775174"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bvsc.co.uk/civicrm/mailing/url?u=15337&amp;qid=775174" TargetMode="External"/><Relationship Id="rId23" Type="http://schemas.openxmlformats.org/officeDocument/2006/relationships/hyperlink" Target="https://www.bvsc.co.uk/civicrm/mailing/url?u=15332&amp;qid=775174" TargetMode="External"/><Relationship Id="rId10" Type="http://schemas.openxmlformats.org/officeDocument/2006/relationships/hyperlink" Target="https://www.bvsc.co.uk/civicrm/mailing/url?u=15278&amp;qid=775174" TargetMode="External"/><Relationship Id="rId19" Type="http://schemas.openxmlformats.org/officeDocument/2006/relationships/hyperlink" Target="https://www.bvsc.co.uk/civicrm/mailing/url?u=15303&amp;qid=775174" TargetMode="External"/><Relationship Id="rId4" Type="http://schemas.openxmlformats.org/officeDocument/2006/relationships/webSettings" Target="webSettings.xml"/><Relationship Id="rId9" Type="http://schemas.openxmlformats.org/officeDocument/2006/relationships/hyperlink" Target="https://www.bvsc.co.uk/civicrm/mailing/url?u=15277&amp;qid=775174" TargetMode="External"/><Relationship Id="rId14" Type="http://schemas.openxmlformats.org/officeDocument/2006/relationships/hyperlink" Target="https://www.bvsc.co.uk/civicrm/mailing/url?u=15282&amp;qid=775174" TargetMode="External"/><Relationship Id="rId22" Type="http://schemas.openxmlformats.org/officeDocument/2006/relationships/hyperlink" Target="https://www.bvsc.co.uk/civicrm/mailing/url?u=15331&amp;qid=7751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Kesten</dc:creator>
  <cp:keywords/>
  <dc:description/>
  <cp:lastModifiedBy>Jamie Kesten</cp:lastModifiedBy>
  <cp:revision>1</cp:revision>
  <dcterms:created xsi:type="dcterms:W3CDTF">2025-11-10T10:02:00Z</dcterms:created>
  <dcterms:modified xsi:type="dcterms:W3CDTF">2025-11-10T10:02:00Z</dcterms:modified>
</cp:coreProperties>
</file>